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3221"/>
        <w:gridCol w:w="654"/>
        <w:gridCol w:w="1388"/>
        <w:gridCol w:w="2398"/>
      </w:tblGrid>
      <w:tr w:rsidR="00772946" w:rsidTr="002870B8">
        <w:trPr>
          <w:trHeight w:val="428"/>
        </w:trPr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programu</w:t>
            </w:r>
          </w:p>
        </w:tc>
        <w:tc>
          <w:tcPr>
            <w:tcW w:w="766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Pr="00652939" w:rsidRDefault="009F6D53" w:rsidP="003E081E">
            <w:pPr>
              <w:pStyle w:val="PROGRAM"/>
              <w:spacing w:line="240" w:lineRule="auto"/>
            </w:pPr>
            <w:r w:rsidRPr="00652939">
              <w:t>Program na rzecz rynku wewnętrznego, konkurencyjności przedsiębiorstw, w tym małych i średnich przedsiębiorstw, dziedziny roślin, zwierząt, żywności i paszy, oraz statystyk europejskich (Program na rzecz jednolitego rynku –</w:t>
            </w:r>
            <w:r w:rsidRPr="00652939">
              <w:rPr>
                <w:color w:val="000000"/>
              </w:rPr>
              <w:t xml:space="preserve"> ang. </w:t>
            </w:r>
            <w:r w:rsidRPr="00652939">
              <w:rPr>
                <w:i/>
              </w:rPr>
              <w:t xml:space="preserve">Single Market </w:t>
            </w:r>
            <w:proofErr w:type="spellStart"/>
            <w:r w:rsidRPr="00652939">
              <w:rPr>
                <w:i/>
              </w:rPr>
              <w:t>Programme</w:t>
            </w:r>
            <w:proofErr w:type="spellEnd"/>
            <w:r w:rsidRPr="00652939">
              <w:t>)</w:t>
            </w:r>
          </w:p>
        </w:tc>
      </w:tr>
      <w:tr w:rsidR="00772946" w:rsidTr="002870B8">
        <w:trPr>
          <w:trHeight w:val="345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Pr="00FB25BD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120FE">
              <w:rPr>
                <w:rFonts w:ascii="Arial" w:hAnsi="Arial" w:cs="Arial"/>
                <w:b/>
                <w:sz w:val="18"/>
                <w:szCs w:val="18"/>
              </w:rPr>
              <w:t>Obszar tematyczny /właściwy RPS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09DF" w:rsidRPr="000120FE" w:rsidRDefault="009C09DF" w:rsidP="000120FE">
            <w:pPr>
              <w:pStyle w:val="Akapitzlist"/>
              <w:numPr>
                <w:ilvl w:val="0"/>
                <w:numId w:val="17"/>
              </w:numPr>
              <w:spacing w:after="60"/>
              <w:ind w:left="228" w:hanging="228"/>
              <w:rPr>
                <w:rFonts w:ascii="Arial" w:hAnsi="Arial" w:cs="Arial"/>
                <w:sz w:val="18"/>
                <w:szCs w:val="18"/>
              </w:rPr>
            </w:pPr>
            <w:bookmarkStart w:id="0" w:name="_Toc62141869"/>
            <w:bookmarkStart w:id="1" w:name="_Toc62154682"/>
            <w:r w:rsidRPr="000120FE">
              <w:rPr>
                <w:rFonts w:ascii="Arial" w:hAnsi="Arial" w:cs="Arial"/>
                <w:sz w:val="18"/>
                <w:szCs w:val="18"/>
              </w:rPr>
              <w:t xml:space="preserve">Regionalny Program Strategiczny w zakresie gospodarki, rynku pracy, oferty turystycznej </w:t>
            </w:r>
            <w:r w:rsidRPr="000120FE">
              <w:rPr>
                <w:rFonts w:ascii="Arial" w:hAnsi="Arial" w:cs="Arial"/>
                <w:sz w:val="18"/>
                <w:szCs w:val="18"/>
              </w:rPr>
              <w:br/>
              <w:t>i czasu wolnego</w:t>
            </w:r>
            <w:bookmarkEnd w:id="0"/>
            <w:bookmarkEnd w:id="1"/>
          </w:p>
          <w:p w:rsidR="00772946" w:rsidRPr="000120FE" w:rsidRDefault="000120FE" w:rsidP="000120FE">
            <w:pPr>
              <w:pStyle w:val="Akapitzlist"/>
              <w:numPr>
                <w:ilvl w:val="0"/>
                <w:numId w:val="17"/>
              </w:numPr>
              <w:spacing w:after="60"/>
              <w:ind w:left="228" w:hanging="228"/>
              <w:rPr>
                <w:rFonts w:ascii="Arial" w:hAnsi="Arial" w:cs="Arial"/>
                <w:bCs/>
                <w:sz w:val="18"/>
                <w:szCs w:val="18"/>
              </w:rPr>
            </w:pPr>
            <w:r w:rsidRPr="000120FE">
              <w:rPr>
                <w:rFonts w:ascii="Arial" w:hAnsi="Arial" w:cs="Arial"/>
                <w:bCs/>
                <w:sz w:val="18"/>
                <w:szCs w:val="18"/>
              </w:rPr>
              <w:t>Regionalny Program Strategiczny w zakresie bezpieczeństwa zdrowotnego i wrażliwości społecznej</w:t>
            </w:r>
          </w:p>
        </w:tc>
      </w:tr>
      <w:tr w:rsidR="00772946" w:rsidTr="002870B8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Syntetyczny opis celów Programu/ priorytety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C6938" w:rsidRPr="00F31A2A" w:rsidRDefault="004C6938" w:rsidP="004C693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31A2A">
              <w:rPr>
                <w:rFonts w:ascii="Arial" w:hAnsi="Arial" w:cs="Arial"/>
                <w:sz w:val="18"/>
                <w:szCs w:val="18"/>
                <w:u w:val="single"/>
              </w:rPr>
              <w:t>Program ma następujące cele ogólne: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"/>
              <w:gridCol w:w="7284"/>
            </w:tblGrid>
            <w:tr w:rsidR="004C6938" w:rsidRPr="004C6938" w:rsidTr="004C693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6938" w:rsidRPr="004C6938" w:rsidRDefault="004C6938" w:rsidP="004C6938">
                  <w:pPr>
                    <w:autoSpaceDE w:val="0"/>
                    <w:autoSpaceDN w:val="0"/>
                    <w:adjustRightInd w:val="0"/>
                    <w:spacing w:after="60"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6938">
                    <w:rPr>
                      <w:rFonts w:ascii="Arial" w:hAnsi="Arial" w:cs="Arial"/>
                      <w:sz w:val="18"/>
                      <w:szCs w:val="18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4C6938" w:rsidRPr="004C6938" w:rsidRDefault="004C6938" w:rsidP="000120FE">
                  <w:pPr>
                    <w:autoSpaceDE w:val="0"/>
                    <w:autoSpaceDN w:val="0"/>
                    <w:adjustRightInd w:val="0"/>
                    <w:spacing w:after="60" w:line="240" w:lineRule="auto"/>
                    <w:ind w:left="20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6938">
                    <w:rPr>
                      <w:rFonts w:ascii="Arial" w:hAnsi="Arial" w:cs="Arial"/>
                      <w:sz w:val="18"/>
                      <w:szCs w:val="18"/>
                    </w:rPr>
                    <w:t>poprawa funkcjonowania rynku wewnętrznego, zwłaszcza ochrona i wzmocnienie pozycji obywateli, konsumentów i przedsiębiorstw, w szczególności MŚP, poprzez egzekwowanie prawa Unii, ułatwienie dostępu do rynku, ustalanie norm oraz promowanie zdrowia ludzi, zwierząt i 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roślin oraz dobrostanu zwierząt</w:t>
                  </w:r>
                  <w:r w:rsidRPr="004C6938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</w:tc>
            </w:tr>
            <w:tr w:rsidR="004C6938" w:rsidRPr="004C6938" w:rsidTr="004C693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6938" w:rsidRPr="004C6938" w:rsidRDefault="004C6938" w:rsidP="004C6938">
                  <w:pPr>
                    <w:autoSpaceDE w:val="0"/>
                    <w:autoSpaceDN w:val="0"/>
                    <w:adjustRightInd w:val="0"/>
                    <w:spacing w:after="60"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6938">
                    <w:rPr>
                      <w:rFonts w:ascii="Arial" w:hAnsi="Arial" w:cs="Arial"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4C6938" w:rsidRDefault="004C6938" w:rsidP="000120FE">
                  <w:pPr>
                    <w:autoSpaceDE w:val="0"/>
                    <w:autoSpaceDN w:val="0"/>
                    <w:adjustRightInd w:val="0"/>
                    <w:spacing w:after="60" w:line="240" w:lineRule="auto"/>
                    <w:ind w:left="20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6938">
                    <w:rPr>
                      <w:rFonts w:ascii="Arial" w:hAnsi="Arial" w:cs="Arial"/>
                      <w:sz w:val="18"/>
                      <w:szCs w:val="18"/>
                    </w:rPr>
                    <w:t>opracowywanie, tworzenie i rozpowszechnianie wysokiej jakości, porównywalnych, terminowych i wiary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godnych statystyk europejskich.</w:t>
                  </w:r>
                </w:p>
                <w:p w:rsidR="00F31A2A" w:rsidRPr="004C6938" w:rsidRDefault="00F31A2A" w:rsidP="00616450">
                  <w:pPr>
                    <w:autoSpaceDE w:val="0"/>
                    <w:autoSpaceDN w:val="0"/>
                    <w:adjustRightInd w:val="0"/>
                    <w:spacing w:after="60" w:line="360" w:lineRule="auto"/>
                    <w:ind w:left="20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4C6938" w:rsidRPr="004D28B9" w:rsidRDefault="004C6938" w:rsidP="004C693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D28B9">
              <w:rPr>
                <w:rFonts w:ascii="Arial" w:hAnsi="Arial" w:cs="Arial"/>
                <w:sz w:val="18"/>
                <w:szCs w:val="18"/>
                <w:u w:val="single"/>
              </w:rPr>
              <w:t>Program ma następujące cele szczegółowe: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"/>
              <w:gridCol w:w="7284"/>
            </w:tblGrid>
            <w:tr w:rsidR="004C6938" w:rsidRPr="004C6938" w:rsidTr="004C693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6938" w:rsidRPr="004C6938" w:rsidRDefault="00100028" w:rsidP="004C6938">
                  <w:pPr>
                    <w:autoSpaceDE w:val="0"/>
                    <w:autoSpaceDN w:val="0"/>
                    <w:adjustRightInd w:val="0"/>
                    <w:spacing w:after="60"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4C6938" w:rsidRPr="004C6938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4C6938" w:rsidRPr="004C6938" w:rsidRDefault="004C6938" w:rsidP="000120FE">
                  <w:pPr>
                    <w:autoSpaceDE w:val="0"/>
                    <w:autoSpaceDN w:val="0"/>
                    <w:adjustRightInd w:val="0"/>
                    <w:spacing w:after="60" w:line="240" w:lineRule="auto"/>
                    <w:ind w:left="20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0CF8">
                    <w:rPr>
                      <w:rFonts w:ascii="Arial" w:hAnsi="Arial" w:cs="Arial"/>
                      <w:b/>
                      <w:sz w:val="18"/>
                      <w:szCs w:val="18"/>
                    </w:rPr>
                    <w:t>zwiększenie skuteczności rynku wewnętrznego</w:t>
                  </w:r>
                  <w:r w:rsidRPr="004C6938">
                    <w:rPr>
                      <w:rFonts w:ascii="Arial" w:hAnsi="Arial" w:cs="Arial"/>
                      <w:sz w:val="18"/>
                      <w:szCs w:val="18"/>
                    </w:rPr>
                    <w:t>, m.in. w świetle transformacji cyfrowej, poprzez: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"/>
                    <w:gridCol w:w="7084"/>
                  </w:tblGrid>
                  <w:tr w:rsidR="004C6938" w:rsidRPr="004C69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C6938" w:rsidRPr="004C6938" w:rsidRDefault="004C6938" w:rsidP="004C6938">
                        <w:pPr>
                          <w:autoSpaceDE w:val="0"/>
                          <w:autoSpaceDN w:val="0"/>
                          <w:adjustRightInd w:val="0"/>
                          <w:spacing w:after="60"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(i)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C6938" w:rsidRPr="004C6938" w:rsidRDefault="00F31A2A" w:rsidP="000120FE">
                        <w:pPr>
                          <w:autoSpaceDE w:val="0"/>
                          <w:autoSpaceDN w:val="0"/>
                          <w:adjustRightInd w:val="0"/>
                          <w:spacing w:after="6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4C6938"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ułatwianie zapobiegania powstawaniu dyskryminacyjnych, nieuzasadnionych lub nieproporcjonalnych przeszkód oraz ich usuwania, wspieranie opracowywania, wdrażania i egzekwowania prawa Unii w dziedzinie rynku wewnętrznego towarów i usług, w tym poprzez lepsze stosowanie zasady wzajemnego uznawania, przepisów dotyczących zamówień publicznych, prawa spółek oraz prawa umów i zobowiązań pozaumownych, przepisów dotyczących przeciwdziałania praniu pieniędzy, swobodnego przepływu kapitału i usług finansowych; oraz przepisów dotyczących konkurencji, w tym poprzez opracowywanie narzędzi zarządzania zorientowanych na użytkownika;</w:t>
                        </w:r>
                      </w:p>
                    </w:tc>
                  </w:tr>
                  <w:tr w:rsidR="004C6938" w:rsidRPr="004C69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C6938" w:rsidRPr="004C6938" w:rsidRDefault="004C6938" w:rsidP="004C6938">
                        <w:pPr>
                          <w:autoSpaceDE w:val="0"/>
                          <w:autoSpaceDN w:val="0"/>
                          <w:adjustRightInd w:val="0"/>
                          <w:spacing w:after="60"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(ii)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C6938" w:rsidRPr="004C6938" w:rsidRDefault="00F31A2A" w:rsidP="000120FE">
                        <w:pPr>
                          <w:autoSpaceDE w:val="0"/>
                          <w:autoSpaceDN w:val="0"/>
                          <w:adjustRightInd w:val="0"/>
                          <w:spacing w:after="6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4C6938"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wspieranie skutecznego nadzoru rynku w całej Unii z myślą o zapewnieniu, aby na rynek Unii wprowadzane były jedynie produkty, które są bezpieczne i zgodne z wymogami oraz które zapewniają wysoki poziom ochrony konsumentów;</w:t>
                        </w:r>
                      </w:p>
                    </w:tc>
                  </w:tr>
                </w:tbl>
                <w:p w:rsidR="004C6938" w:rsidRPr="004C6938" w:rsidRDefault="004C6938" w:rsidP="004C6938">
                  <w:pPr>
                    <w:autoSpaceDE w:val="0"/>
                    <w:autoSpaceDN w:val="0"/>
                    <w:adjustRightInd w:val="0"/>
                    <w:spacing w:after="60"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C6938" w:rsidRPr="004C6938" w:rsidTr="004C693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6938" w:rsidRPr="004C6938" w:rsidRDefault="00100028" w:rsidP="004C6938">
                  <w:pPr>
                    <w:autoSpaceDE w:val="0"/>
                    <w:autoSpaceDN w:val="0"/>
                    <w:adjustRightInd w:val="0"/>
                    <w:spacing w:after="60"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4C6938" w:rsidRPr="004C6938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4C6938" w:rsidRPr="004C6938" w:rsidRDefault="004C6938" w:rsidP="000120FE">
                  <w:pPr>
                    <w:autoSpaceDE w:val="0"/>
                    <w:autoSpaceDN w:val="0"/>
                    <w:adjustRightInd w:val="0"/>
                    <w:spacing w:after="60" w:line="240" w:lineRule="auto"/>
                    <w:ind w:left="20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0CF8">
                    <w:rPr>
                      <w:rFonts w:ascii="Arial" w:hAnsi="Arial" w:cs="Arial"/>
                      <w:b/>
                      <w:sz w:val="18"/>
                      <w:szCs w:val="18"/>
                    </w:rPr>
                    <w:t>wzmacnianie konkurencyjności i </w:t>
                  </w:r>
                  <w:proofErr w:type="spellStart"/>
                  <w:r w:rsidRPr="00DD0CF8">
                    <w:rPr>
                      <w:rFonts w:ascii="Arial" w:hAnsi="Arial" w:cs="Arial"/>
                      <w:b/>
                      <w:sz w:val="18"/>
                      <w:szCs w:val="18"/>
                    </w:rPr>
                    <w:t>zrównoważoności</w:t>
                  </w:r>
                  <w:proofErr w:type="spellEnd"/>
                  <w:r w:rsidRPr="00DD0CF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MŚP i osiągnięcie dodatkowości na poziomie Unii poprzez środki</w:t>
                  </w:r>
                  <w:r w:rsidRPr="004C6938">
                    <w:rPr>
                      <w:rFonts w:ascii="Arial" w:hAnsi="Arial" w:cs="Arial"/>
                      <w:sz w:val="18"/>
                      <w:szCs w:val="18"/>
                    </w:rPr>
                    <w:t>, które: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7034"/>
                  </w:tblGrid>
                  <w:tr w:rsidR="004C6938" w:rsidRPr="004C69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C6938" w:rsidRPr="004C6938" w:rsidRDefault="004C6938" w:rsidP="004C6938">
                        <w:pPr>
                          <w:autoSpaceDE w:val="0"/>
                          <w:autoSpaceDN w:val="0"/>
                          <w:adjustRightInd w:val="0"/>
                          <w:spacing w:after="60"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(i)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C6938" w:rsidRPr="004C6938" w:rsidRDefault="00F31A2A" w:rsidP="000120FE">
                        <w:pPr>
                          <w:autoSpaceDE w:val="0"/>
                          <w:autoSpaceDN w:val="0"/>
                          <w:adjustRightInd w:val="0"/>
                          <w:spacing w:after="6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4C6938"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zapewniają różne formy wsparcia dla MŚP, jak również klastrów i organizacji sieci biznesowych, w tym w sektorze turystyki, promując tym samym wzrost, ekspansję i tworzenie MŚP;</w:t>
                        </w:r>
                      </w:p>
                    </w:tc>
                  </w:tr>
                  <w:tr w:rsidR="004C6938" w:rsidRPr="004C69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C6938" w:rsidRPr="004C6938" w:rsidRDefault="004C6938" w:rsidP="004C6938">
                        <w:pPr>
                          <w:autoSpaceDE w:val="0"/>
                          <w:autoSpaceDN w:val="0"/>
                          <w:adjustRightInd w:val="0"/>
                          <w:spacing w:after="60"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(ii)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C6938" w:rsidRPr="004C6938" w:rsidRDefault="004C6938" w:rsidP="004C6938">
                        <w:pPr>
                          <w:autoSpaceDE w:val="0"/>
                          <w:autoSpaceDN w:val="0"/>
                          <w:adjustRightInd w:val="0"/>
                          <w:spacing w:after="60"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ułatwiają dostęp do rynków, w tym poprzez internacjonalizację MŚP,</w:t>
                        </w:r>
                      </w:p>
                    </w:tc>
                  </w:tr>
                  <w:tr w:rsidR="004C6938" w:rsidRPr="004C69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C6938" w:rsidRPr="004C6938" w:rsidRDefault="004C6938" w:rsidP="004C6938">
                        <w:pPr>
                          <w:autoSpaceDE w:val="0"/>
                          <w:autoSpaceDN w:val="0"/>
                          <w:adjustRightInd w:val="0"/>
                          <w:spacing w:after="60"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(iii)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C6938" w:rsidRPr="004C6938" w:rsidRDefault="00F31A2A" w:rsidP="004C6938">
                        <w:pPr>
                          <w:autoSpaceDE w:val="0"/>
                          <w:autoSpaceDN w:val="0"/>
                          <w:adjustRightInd w:val="0"/>
                          <w:spacing w:after="60"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4C6938"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promują przedsiębiorczość i zdobywanie umiejętności w zakresie przedsiębiorczości;</w:t>
                        </w:r>
                      </w:p>
                    </w:tc>
                  </w:tr>
                  <w:tr w:rsidR="004C6938" w:rsidRPr="004C69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C6938" w:rsidRPr="004C6938" w:rsidRDefault="004C6938" w:rsidP="004C6938">
                        <w:pPr>
                          <w:autoSpaceDE w:val="0"/>
                          <w:autoSpaceDN w:val="0"/>
                          <w:adjustRightInd w:val="0"/>
                          <w:spacing w:after="60"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(iv)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C6938" w:rsidRPr="004C6938" w:rsidRDefault="00F31A2A" w:rsidP="000120FE">
                        <w:pPr>
                          <w:autoSpaceDE w:val="0"/>
                          <w:autoSpaceDN w:val="0"/>
                          <w:adjustRightInd w:val="0"/>
                          <w:spacing w:after="6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4C6938"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promują korzystne otoczenie biznesowe dla MŚP, wspierają transformację cyfrową MŚP i promują nowe możliwości biznesowe dla MŚP, w tym dla przedsiębiorstw gospodarki społecznej i przedsiębiorstw o innowacyjnych modelach biznesowych;</w:t>
                        </w:r>
                      </w:p>
                    </w:tc>
                  </w:tr>
                  <w:tr w:rsidR="004C6938" w:rsidRPr="004C69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C6938" w:rsidRPr="004C6938" w:rsidRDefault="004C6938" w:rsidP="004C6938">
                        <w:pPr>
                          <w:autoSpaceDE w:val="0"/>
                          <w:autoSpaceDN w:val="0"/>
                          <w:adjustRightInd w:val="0"/>
                          <w:spacing w:after="60"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(v)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C6938" w:rsidRPr="004C6938" w:rsidRDefault="00F31A2A" w:rsidP="000120FE">
                        <w:pPr>
                          <w:autoSpaceDE w:val="0"/>
                          <w:autoSpaceDN w:val="0"/>
                          <w:adjustRightInd w:val="0"/>
                          <w:spacing w:after="6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4C6938"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wspierają konkurencyjność ekosystemów i sektorów przemysłowych, jak również rozwój przemysłowych łańcuchów wartości;</w:t>
                        </w:r>
                      </w:p>
                    </w:tc>
                  </w:tr>
                  <w:tr w:rsidR="004C6938" w:rsidRPr="004C69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C6938" w:rsidRPr="004C6938" w:rsidRDefault="004C6938" w:rsidP="004C6938">
                        <w:pPr>
                          <w:autoSpaceDE w:val="0"/>
                          <w:autoSpaceDN w:val="0"/>
                          <w:adjustRightInd w:val="0"/>
                          <w:spacing w:after="60"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(vi)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C6938" w:rsidRPr="004C6938" w:rsidRDefault="00F31A2A" w:rsidP="000120FE">
                        <w:pPr>
                          <w:autoSpaceDE w:val="0"/>
                          <w:autoSpaceDN w:val="0"/>
                          <w:adjustRightInd w:val="0"/>
                          <w:spacing w:after="6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</w:t>
                        </w:r>
                        <w:r w:rsidR="004C6938"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romują modernizację przemysłu, przyczyniając się do zielonej, cyfrowej i odpornej gospodarki;</w:t>
                        </w:r>
                      </w:p>
                    </w:tc>
                  </w:tr>
                </w:tbl>
                <w:p w:rsidR="004C6938" w:rsidRPr="004C6938" w:rsidRDefault="004C6938" w:rsidP="004C6938">
                  <w:pPr>
                    <w:autoSpaceDE w:val="0"/>
                    <w:autoSpaceDN w:val="0"/>
                    <w:adjustRightInd w:val="0"/>
                    <w:spacing w:after="60"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4C6938" w:rsidRPr="004C6938" w:rsidRDefault="004C6938" w:rsidP="004C693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"/>
              <w:gridCol w:w="7284"/>
            </w:tblGrid>
            <w:tr w:rsidR="004C6938" w:rsidRPr="004C6938" w:rsidTr="004C693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6938" w:rsidRPr="004C6938" w:rsidRDefault="00100028" w:rsidP="004C6938">
                  <w:pPr>
                    <w:autoSpaceDE w:val="0"/>
                    <w:autoSpaceDN w:val="0"/>
                    <w:adjustRightInd w:val="0"/>
                    <w:spacing w:after="60"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4C6938" w:rsidRPr="004C6938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4C6938" w:rsidRPr="004C6938" w:rsidRDefault="00F31A2A" w:rsidP="000120FE">
                  <w:pPr>
                    <w:autoSpaceDE w:val="0"/>
                    <w:autoSpaceDN w:val="0"/>
                    <w:adjustRightInd w:val="0"/>
                    <w:spacing w:after="6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C6938" w:rsidRPr="00DD0CF8">
                    <w:rPr>
                      <w:rFonts w:ascii="Arial" w:hAnsi="Arial" w:cs="Arial"/>
                      <w:b/>
                      <w:sz w:val="18"/>
                      <w:szCs w:val="18"/>
                    </w:rPr>
                    <w:t>zapewnienie skutecznego funkcjonowania rynku wewnętrznego poprzez procesy normalizacji</w:t>
                  </w:r>
                  <w:r w:rsidR="004C6938" w:rsidRPr="004C6938">
                    <w:rPr>
                      <w:rFonts w:ascii="Arial" w:hAnsi="Arial" w:cs="Arial"/>
                      <w:sz w:val="18"/>
                      <w:szCs w:val="18"/>
                    </w:rPr>
                    <w:t>, które: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"/>
                    <w:gridCol w:w="7084"/>
                  </w:tblGrid>
                  <w:tr w:rsidR="004C6938" w:rsidRPr="004C69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C6938" w:rsidRPr="004C6938" w:rsidRDefault="004C6938" w:rsidP="004C6938">
                        <w:pPr>
                          <w:autoSpaceDE w:val="0"/>
                          <w:autoSpaceDN w:val="0"/>
                          <w:adjustRightInd w:val="0"/>
                          <w:spacing w:after="60"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(i)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C6938" w:rsidRPr="004C6938" w:rsidRDefault="004C6938" w:rsidP="00F31A2A">
                        <w:pPr>
                          <w:autoSpaceDE w:val="0"/>
                          <w:autoSpaceDN w:val="0"/>
                          <w:adjustRightInd w:val="0"/>
                          <w:spacing w:after="60"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umożliwiają finansow</w:t>
                        </w:r>
                        <w:r w:rsidR="00F31A2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anie normalizacji europejskiej</w:t>
                        </w:r>
                        <w:r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4C6938" w:rsidRPr="004C693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C6938" w:rsidRPr="004C6938" w:rsidRDefault="004C6938" w:rsidP="004C6938">
                        <w:pPr>
                          <w:autoSpaceDE w:val="0"/>
                          <w:autoSpaceDN w:val="0"/>
                          <w:adjustRightInd w:val="0"/>
                          <w:spacing w:after="60"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(ii)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C6938" w:rsidRPr="004C6938" w:rsidRDefault="00616450" w:rsidP="000120FE">
                        <w:pPr>
                          <w:autoSpaceDE w:val="0"/>
                          <w:autoSpaceDN w:val="0"/>
                          <w:adjustRightInd w:val="0"/>
                          <w:spacing w:after="6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4C6938" w:rsidRPr="004C69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wspierają opracowywanie wysokiej jakości międzynarodowych standardów sprawozdawczości finansowej i niefinansowej oraz rewizji finansowej, ułatwiają ich włączenie do prawa Unii oraz promują innowacje i rozwój najlepszych praktyk w zakresie sprawozdawczości przedsiębiorstw;</w:t>
                        </w:r>
                      </w:p>
                    </w:tc>
                  </w:tr>
                </w:tbl>
                <w:p w:rsidR="004C6938" w:rsidRPr="004C6938" w:rsidRDefault="004C6938" w:rsidP="004C6938">
                  <w:pPr>
                    <w:autoSpaceDE w:val="0"/>
                    <w:autoSpaceDN w:val="0"/>
                    <w:adjustRightInd w:val="0"/>
                    <w:spacing w:after="60"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31A2A" w:rsidRPr="007244E6" w:rsidRDefault="007244E6" w:rsidP="000120FE">
            <w:pPr>
              <w:autoSpaceDE w:val="0"/>
              <w:autoSpaceDN w:val="0"/>
              <w:adjustRightInd w:val="0"/>
              <w:spacing w:after="60" w:line="240" w:lineRule="auto"/>
              <w:ind w:left="228" w:hanging="228"/>
              <w:jc w:val="both"/>
              <w:rPr>
                <w:rFonts w:ascii="Arial" w:hAnsi="Arial" w:cs="Arial"/>
                <w:vanish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F31A2A" w:rsidRPr="00DD0CF8">
              <w:rPr>
                <w:rFonts w:ascii="Arial" w:hAnsi="Arial" w:cs="Arial"/>
                <w:b/>
                <w:sz w:val="18"/>
                <w:szCs w:val="18"/>
              </w:rPr>
              <w:t xml:space="preserve">promowanie interesów konsumentów oraz zapewnienie wysokiego poziomu ochrony </w:t>
            </w:r>
            <w:r w:rsidR="00616450" w:rsidRPr="00DD0C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1A2A" w:rsidRPr="00DD0CF8">
              <w:rPr>
                <w:rFonts w:ascii="Arial" w:hAnsi="Arial" w:cs="Arial"/>
                <w:b/>
                <w:sz w:val="18"/>
                <w:szCs w:val="18"/>
              </w:rPr>
              <w:t>konsumentów i b</w:t>
            </w:r>
            <w:r w:rsidR="00957865" w:rsidRPr="00DD0CF8">
              <w:rPr>
                <w:rFonts w:ascii="Arial" w:hAnsi="Arial" w:cs="Arial"/>
                <w:b/>
                <w:sz w:val="18"/>
                <w:szCs w:val="18"/>
              </w:rPr>
              <w:t>ezpieczeństwa</w:t>
            </w:r>
            <w:r w:rsidR="009578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7865" w:rsidRPr="00DD0CF8">
              <w:rPr>
                <w:rFonts w:ascii="Arial" w:hAnsi="Arial" w:cs="Arial"/>
                <w:b/>
                <w:sz w:val="18"/>
                <w:szCs w:val="18"/>
              </w:rPr>
              <w:t>produktó</w:t>
            </w:r>
            <w:r w:rsidR="00957865"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4C6938" w:rsidRPr="004C6938" w:rsidRDefault="004C6938" w:rsidP="004C693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"/>
              <w:gridCol w:w="7284"/>
            </w:tblGrid>
            <w:tr w:rsidR="004C6938" w:rsidRPr="004C6938" w:rsidTr="004C693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6938" w:rsidRPr="004C6938" w:rsidRDefault="007244E6" w:rsidP="004C6938">
                  <w:pPr>
                    <w:autoSpaceDE w:val="0"/>
                    <w:autoSpaceDN w:val="0"/>
                    <w:adjustRightInd w:val="0"/>
                    <w:spacing w:after="60"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5</w:t>
                  </w:r>
                  <w:r w:rsidR="004C6938" w:rsidRPr="004C6938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4C6938" w:rsidRPr="004C6938" w:rsidRDefault="00F31A2A" w:rsidP="000120FE">
                  <w:pPr>
                    <w:autoSpaceDE w:val="0"/>
                    <w:autoSpaceDN w:val="0"/>
                    <w:adjustRightInd w:val="0"/>
                    <w:spacing w:after="60" w:line="240" w:lineRule="auto"/>
                    <w:ind w:left="64" w:hanging="6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C6938" w:rsidRPr="00DD0CF8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przyczynianie się do wysokiego poziomu zdrowia i bezpieczeństwa ludzi, zwierząt i roślin w dziedzinie roślin, zwierząt, żywności i paszy,</w:t>
                  </w:r>
                  <w:r w:rsidR="004C6938" w:rsidRPr="004C6938">
                    <w:rPr>
                      <w:rFonts w:ascii="Arial" w:hAnsi="Arial" w:cs="Arial"/>
                      <w:sz w:val="18"/>
                      <w:szCs w:val="18"/>
                    </w:rPr>
                    <w:t xml:space="preserve"> między innymi poprzez zapobieganie chorobom zwierząt i </w:t>
                  </w:r>
                  <w:proofErr w:type="spellStart"/>
                  <w:r w:rsidR="004C6938" w:rsidRPr="004C6938">
                    <w:rPr>
                      <w:rFonts w:ascii="Arial" w:hAnsi="Arial" w:cs="Arial"/>
                      <w:sz w:val="18"/>
                      <w:szCs w:val="18"/>
                    </w:rPr>
                    <w:t>agrofagom</w:t>
                  </w:r>
                  <w:proofErr w:type="spellEnd"/>
                  <w:r w:rsidR="004C6938" w:rsidRPr="004C6938">
                    <w:rPr>
                      <w:rFonts w:ascii="Arial" w:hAnsi="Arial" w:cs="Arial"/>
                      <w:sz w:val="18"/>
                      <w:szCs w:val="18"/>
                    </w:rPr>
                    <w:t xml:space="preserve"> roślin oraz ich wykrywanie i eliminowanie, w tym za pomocą środków nadzwyczajnych podejmowanych w przypadku sytuacji kryzysowych na dużą skalę i nieprzewidzianych zdarzeń wpływających na zdrowie zwierząt lub roślin, oraz poprzez wspieranie poprawy dobrostanu zwierząt, walki z opornością na środki przeciwdrobnoustrojowe oraz rozwoju zrównoważonej produkcji i konsumpcji, a także poprzez stymulowanie wymiany najlepszych praktyk pomiędzy zainteresowanymi stronami w tych dziedzinach;</w:t>
                  </w:r>
                </w:p>
              </w:tc>
            </w:tr>
          </w:tbl>
          <w:p w:rsidR="004C6938" w:rsidRPr="004C6938" w:rsidRDefault="004C6938" w:rsidP="004C693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"/>
              <w:gridCol w:w="7284"/>
            </w:tblGrid>
            <w:tr w:rsidR="004C6938" w:rsidRPr="004C6938" w:rsidTr="004C693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C6938" w:rsidRPr="004C6938" w:rsidRDefault="007244E6" w:rsidP="004C6938">
                  <w:pPr>
                    <w:autoSpaceDE w:val="0"/>
                    <w:autoSpaceDN w:val="0"/>
                    <w:adjustRightInd w:val="0"/>
                    <w:spacing w:after="60"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4C6938" w:rsidRPr="004C6938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4C6938" w:rsidRPr="004C6938" w:rsidRDefault="004C6938" w:rsidP="000120FE">
                  <w:pPr>
                    <w:autoSpaceDE w:val="0"/>
                    <w:autoSpaceDN w:val="0"/>
                    <w:adjustRightInd w:val="0"/>
                    <w:spacing w:after="60" w:line="240" w:lineRule="auto"/>
                    <w:ind w:left="6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0CF8">
                    <w:rPr>
                      <w:rFonts w:ascii="Arial" w:hAnsi="Arial" w:cs="Arial"/>
                      <w:b/>
                      <w:sz w:val="18"/>
                      <w:szCs w:val="18"/>
                    </w:rPr>
                    <w:t>opracowywanie, tworzenie, rozpowszechnianie i przekazywanie wysokiej</w:t>
                  </w:r>
                  <w:r w:rsidR="00F31A2A" w:rsidRPr="00DD0CF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jakości statystyk europejskich</w:t>
                  </w:r>
                  <w:r w:rsidR="00F31A2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975DA7" w:rsidRPr="004C6938" w:rsidRDefault="00975DA7" w:rsidP="00644BF5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946" w:rsidTr="002870B8">
        <w:trPr>
          <w:trHeight w:val="91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616450">
            <w:pPr>
              <w:spacing w:after="60" w:line="360" w:lineRule="auto"/>
              <w:ind w:right="-4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finansowania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2946" w:rsidRPr="001D04D6" w:rsidRDefault="007E7518" w:rsidP="00A158EF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04D6">
              <w:rPr>
                <w:rFonts w:ascii="Arial" w:hAnsi="Arial" w:cs="Arial"/>
                <w:sz w:val="18"/>
                <w:szCs w:val="18"/>
              </w:rPr>
              <w:t>2021-2027</w:t>
            </w:r>
          </w:p>
        </w:tc>
      </w:tr>
      <w:tr w:rsidR="00772946" w:rsidTr="007E2558">
        <w:trPr>
          <w:trHeight w:val="278"/>
        </w:trPr>
        <w:tc>
          <w:tcPr>
            <w:tcW w:w="23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Budżet programu, w tym:</w:t>
            </w:r>
          </w:p>
        </w:tc>
        <w:tc>
          <w:tcPr>
            <w:tcW w:w="38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:rsidR="00772946" w:rsidRPr="001D04D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04D6">
              <w:rPr>
                <w:rFonts w:ascii="Arial" w:hAnsi="Arial" w:cs="Arial"/>
                <w:b/>
                <w:sz w:val="18"/>
                <w:szCs w:val="18"/>
              </w:rPr>
              <w:t>Budżet ogółem</w:t>
            </w:r>
          </w:p>
        </w:tc>
        <w:tc>
          <w:tcPr>
            <w:tcW w:w="37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772946" w:rsidRPr="001D04D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04D6">
              <w:rPr>
                <w:rFonts w:ascii="Arial" w:hAnsi="Arial" w:cs="Arial"/>
                <w:b/>
                <w:sz w:val="18"/>
                <w:szCs w:val="18"/>
              </w:rPr>
              <w:t xml:space="preserve">Dostępne środki </w:t>
            </w:r>
            <w:r w:rsidRPr="001D04D6">
              <w:rPr>
                <w:rFonts w:ascii="Arial" w:hAnsi="Arial" w:cs="Arial"/>
                <w:sz w:val="18"/>
                <w:szCs w:val="18"/>
              </w:rPr>
              <w:t>(wg stanu na dzień...)</w:t>
            </w:r>
          </w:p>
        </w:tc>
      </w:tr>
      <w:tr w:rsidR="00772946" w:rsidTr="007E2558">
        <w:trPr>
          <w:trHeight w:val="32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Default="00772946" w:rsidP="002870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Pr="001D04D6" w:rsidRDefault="004D28B9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4D28B9">
              <w:rPr>
                <w:rFonts w:ascii="Arial" w:hAnsi="Arial" w:cs="Arial"/>
                <w:sz w:val="18"/>
                <w:szCs w:val="18"/>
              </w:rPr>
              <w:t>4 208 041</w:t>
            </w:r>
            <w:r w:rsidR="00957865">
              <w:rPr>
                <w:rFonts w:ascii="Arial" w:hAnsi="Arial" w:cs="Arial"/>
                <w:sz w:val="18"/>
                <w:szCs w:val="18"/>
              </w:rPr>
              <w:t> </w:t>
            </w:r>
            <w:r w:rsidRPr="004D28B9">
              <w:rPr>
                <w:rFonts w:ascii="Arial" w:hAnsi="Arial" w:cs="Arial"/>
                <w:sz w:val="18"/>
                <w:szCs w:val="18"/>
              </w:rPr>
              <w:t>000</w:t>
            </w:r>
            <w:r w:rsidR="009578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8B9">
              <w:rPr>
                <w:rFonts w:ascii="Arial" w:hAnsi="Arial" w:cs="Arial"/>
                <w:sz w:val="18"/>
                <w:szCs w:val="18"/>
              </w:rPr>
              <w:t>EUR</w:t>
            </w: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Pr="001D04D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946" w:rsidTr="007E2558">
        <w:trPr>
          <w:trHeight w:val="322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E7518" w:rsidP="008A23E6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 szczegółowy nr 1 </w:t>
            </w:r>
            <w:r w:rsidRPr="008A23E6">
              <w:rPr>
                <w:rFonts w:ascii="Arial" w:hAnsi="Arial" w:cs="Arial"/>
                <w:sz w:val="18"/>
                <w:szCs w:val="18"/>
              </w:rPr>
              <w:t>„</w:t>
            </w:r>
            <w:r w:rsidR="004D28B9" w:rsidRPr="008A23E6">
              <w:rPr>
                <w:rFonts w:ascii="Arial" w:hAnsi="Arial" w:cs="Arial"/>
                <w:sz w:val="18"/>
                <w:szCs w:val="18"/>
              </w:rPr>
              <w:t>Zwiększenie skuteczności rynku wewnętrznego</w:t>
            </w:r>
            <w:r w:rsidRPr="008A23E6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Pr="001D04D6" w:rsidRDefault="004D28B9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557 030 500</w:t>
            </w:r>
            <w:r w:rsidR="001D04D6" w:rsidRPr="001D04D6">
              <w:rPr>
                <w:rFonts w:ascii="Arial" w:hAnsi="Arial" w:cs="Arial"/>
                <w:sz w:val="18"/>
                <w:szCs w:val="18"/>
              </w:rPr>
              <w:t xml:space="preserve"> EUR</w:t>
            </w: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946" w:rsidRPr="001D04D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518" w:rsidTr="007E2558">
        <w:trPr>
          <w:trHeight w:val="322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E7518" w:rsidRDefault="007E7518" w:rsidP="008A23E6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7518">
              <w:rPr>
                <w:rFonts w:ascii="Arial" w:hAnsi="Arial" w:cs="Arial"/>
                <w:b/>
                <w:sz w:val="18"/>
                <w:szCs w:val="18"/>
              </w:rPr>
              <w:t>Cel szczegółowy nr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 </w:t>
            </w:r>
            <w:r w:rsidRPr="008A23E6">
              <w:rPr>
                <w:rFonts w:ascii="Arial" w:hAnsi="Arial" w:cs="Arial"/>
                <w:sz w:val="18"/>
                <w:szCs w:val="18"/>
              </w:rPr>
              <w:t>„</w:t>
            </w:r>
            <w:r w:rsidR="000065D5" w:rsidRPr="008A23E6">
              <w:rPr>
                <w:rFonts w:ascii="Arial" w:hAnsi="Arial" w:cs="Arial"/>
                <w:sz w:val="18"/>
                <w:szCs w:val="18"/>
              </w:rPr>
              <w:t>Wzmacnianie konkurencyjności i </w:t>
            </w:r>
            <w:proofErr w:type="spellStart"/>
            <w:r w:rsidR="000065D5" w:rsidRPr="008A23E6">
              <w:rPr>
                <w:rFonts w:ascii="Arial" w:hAnsi="Arial" w:cs="Arial"/>
                <w:sz w:val="18"/>
                <w:szCs w:val="18"/>
              </w:rPr>
              <w:t>zrównoważoności</w:t>
            </w:r>
            <w:proofErr w:type="spellEnd"/>
            <w:r w:rsidR="000065D5" w:rsidRPr="008A23E6">
              <w:rPr>
                <w:rFonts w:ascii="Arial" w:hAnsi="Arial" w:cs="Arial"/>
                <w:sz w:val="18"/>
                <w:szCs w:val="18"/>
              </w:rPr>
              <w:t xml:space="preserve"> MŚP</w:t>
            </w:r>
            <w:r w:rsidRPr="008A23E6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518" w:rsidRPr="001D04D6" w:rsidRDefault="004D28B9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4D28B9">
              <w:rPr>
                <w:rFonts w:ascii="Arial" w:hAnsi="Arial" w:cs="Arial"/>
                <w:sz w:val="18"/>
                <w:szCs w:val="18"/>
              </w:rPr>
              <w:t>1 000 000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D28B9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4D6" w:rsidRPr="001D04D6">
              <w:rPr>
                <w:rFonts w:ascii="Arial" w:hAnsi="Arial" w:cs="Arial"/>
                <w:sz w:val="18"/>
                <w:szCs w:val="18"/>
              </w:rPr>
              <w:t>EUR</w:t>
            </w: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518" w:rsidRPr="001D04D6" w:rsidRDefault="007E7518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518" w:rsidTr="007E2558">
        <w:trPr>
          <w:trHeight w:val="322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E7518" w:rsidRDefault="007E7518" w:rsidP="008A23E6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7518">
              <w:rPr>
                <w:rFonts w:ascii="Arial" w:hAnsi="Arial" w:cs="Arial"/>
                <w:b/>
                <w:sz w:val="18"/>
                <w:szCs w:val="18"/>
              </w:rPr>
              <w:t>Cel szczegółowy nr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 </w:t>
            </w:r>
            <w:r w:rsidRPr="008A23E6">
              <w:rPr>
                <w:rFonts w:ascii="Arial" w:hAnsi="Arial" w:cs="Arial"/>
                <w:sz w:val="18"/>
                <w:szCs w:val="18"/>
              </w:rPr>
              <w:t>„</w:t>
            </w:r>
            <w:r w:rsidR="000065D5" w:rsidRPr="008A23E6">
              <w:rPr>
                <w:rFonts w:ascii="Arial" w:hAnsi="Arial" w:cs="Arial"/>
                <w:sz w:val="18"/>
                <w:szCs w:val="18"/>
              </w:rPr>
              <w:t>Zapewnienie skutecznego funkcjonowania rynku wewnętrznego poprzez procesy normalizacji</w:t>
            </w:r>
            <w:r w:rsidRPr="008A23E6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518" w:rsidRPr="001D04D6" w:rsidRDefault="004D28B9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4D28B9">
              <w:rPr>
                <w:rFonts w:ascii="Arial" w:hAnsi="Arial" w:cs="Arial"/>
                <w:sz w:val="18"/>
                <w:szCs w:val="18"/>
              </w:rPr>
              <w:t>220 510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D28B9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4D6" w:rsidRPr="001D04D6">
              <w:rPr>
                <w:rFonts w:ascii="Arial" w:hAnsi="Arial" w:cs="Arial"/>
                <w:sz w:val="18"/>
                <w:szCs w:val="18"/>
              </w:rPr>
              <w:t>EUR</w:t>
            </w: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518" w:rsidRPr="001D04D6" w:rsidRDefault="007E7518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4E6" w:rsidTr="007E2558">
        <w:trPr>
          <w:trHeight w:val="322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244E6" w:rsidRPr="007E7518" w:rsidRDefault="007244E6" w:rsidP="008A23E6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44E6">
              <w:rPr>
                <w:rFonts w:ascii="Arial" w:hAnsi="Arial" w:cs="Arial"/>
                <w:b/>
                <w:sz w:val="18"/>
                <w:szCs w:val="18"/>
              </w:rPr>
              <w:t>Cel szczegółowy nr 4</w:t>
            </w:r>
            <w:r w:rsidR="009578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57865" w:rsidRPr="008A23E6">
              <w:rPr>
                <w:rFonts w:ascii="Arial" w:hAnsi="Arial" w:cs="Arial"/>
                <w:sz w:val="18"/>
                <w:szCs w:val="18"/>
              </w:rPr>
              <w:t>„Promowanie interesów konsumentów oraz zapewnienie wysokiego poziomu ochrony konsumentów i bezpieczeństwa produktów”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4E6" w:rsidRPr="004D28B9" w:rsidRDefault="00957865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198 500 000 </w:t>
            </w:r>
            <w:r w:rsidRPr="00957865">
              <w:rPr>
                <w:rFonts w:ascii="Arial" w:hAnsi="Arial" w:cs="Arial"/>
                <w:sz w:val="18"/>
                <w:szCs w:val="18"/>
              </w:rPr>
              <w:t>EUR</w:t>
            </w: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44E6" w:rsidRPr="001D04D6" w:rsidRDefault="007244E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518" w:rsidTr="007E2558">
        <w:trPr>
          <w:trHeight w:val="322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E7518" w:rsidRDefault="007E7518" w:rsidP="008A23E6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7518">
              <w:rPr>
                <w:rFonts w:ascii="Arial" w:hAnsi="Arial" w:cs="Arial"/>
                <w:b/>
                <w:sz w:val="18"/>
                <w:szCs w:val="18"/>
              </w:rPr>
              <w:t>Cel szczegółowy nr</w:t>
            </w:r>
            <w:r w:rsidR="007244E6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„</w:t>
            </w:r>
            <w:r w:rsidR="000065D5" w:rsidRPr="008A23E6">
              <w:rPr>
                <w:rFonts w:ascii="Arial" w:hAnsi="Arial" w:cs="Arial"/>
                <w:sz w:val="18"/>
                <w:szCs w:val="18"/>
              </w:rPr>
              <w:t>Przyczynianie się do wysokiego poziomu zdrowia i bezpieczeństwa ludzi, zwierząt i roślin</w:t>
            </w:r>
            <w:r w:rsidRPr="008A23E6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518" w:rsidRPr="001D04D6" w:rsidRDefault="004D28B9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4D28B9">
              <w:rPr>
                <w:rFonts w:ascii="Arial" w:hAnsi="Arial" w:cs="Arial"/>
                <w:sz w:val="18"/>
                <w:szCs w:val="18"/>
              </w:rPr>
              <w:t>1 680 000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D28B9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4D6" w:rsidRPr="001D04D6">
              <w:rPr>
                <w:rFonts w:ascii="Arial" w:hAnsi="Arial" w:cs="Arial"/>
                <w:sz w:val="18"/>
                <w:szCs w:val="18"/>
              </w:rPr>
              <w:t>EUR</w:t>
            </w: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518" w:rsidRPr="001D04D6" w:rsidRDefault="007E7518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946" w:rsidTr="007E2558">
        <w:trPr>
          <w:trHeight w:val="322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244E6" w:rsidP="008A23E6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 szczegółowy nr 6</w:t>
            </w:r>
            <w:r w:rsidR="007E75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E7518" w:rsidRPr="008A23E6">
              <w:rPr>
                <w:rFonts w:ascii="Arial" w:hAnsi="Arial" w:cs="Arial"/>
                <w:sz w:val="18"/>
                <w:szCs w:val="18"/>
              </w:rPr>
              <w:t>„</w:t>
            </w:r>
            <w:r w:rsidR="000065D5" w:rsidRPr="008A23E6">
              <w:rPr>
                <w:rFonts w:ascii="Arial" w:hAnsi="Arial" w:cs="Arial"/>
                <w:sz w:val="18"/>
                <w:szCs w:val="18"/>
              </w:rPr>
              <w:t>Opracowywanie, tworzenie, rozpowszechnianie i przekazywanie wysokiej jakości statystyk europejskich</w:t>
            </w:r>
            <w:r w:rsidR="007E7518" w:rsidRPr="008A23E6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Pr="001D04D6" w:rsidRDefault="004D28B9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4D28B9">
              <w:rPr>
                <w:rFonts w:ascii="Arial" w:hAnsi="Arial" w:cs="Arial"/>
                <w:sz w:val="18"/>
                <w:szCs w:val="18"/>
              </w:rPr>
              <w:t>552 000</w:t>
            </w:r>
            <w:r w:rsidR="00957865">
              <w:rPr>
                <w:rFonts w:ascii="Arial" w:hAnsi="Arial" w:cs="Arial"/>
                <w:sz w:val="18"/>
                <w:szCs w:val="18"/>
              </w:rPr>
              <w:t> </w:t>
            </w:r>
            <w:r w:rsidRPr="004D28B9">
              <w:rPr>
                <w:rFonts w:ascii="Arial" w:hAnsi="Arial" w:cs="Arial"/>
                <w:sz w:val="18"/>
                <w:szCs w:val="18"/>
              </w:rPr>
              <w:t>000</w:t>
            </w:r>
            <w:r w:rsidR="009578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4D6" w:rsidRPr="001D04D6">
              <w:rPr>
                <w:rFonts w:ascii="Arial" w:hAnsi="Arial" w:cs="Arial"/>
                <w:sz w:val="18"/>
                <w:szCs w:val="18"/>
              </w:rPr>
              <w:t>EUR</w:t>
            </w: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Pr="001D04D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946" w:rsidTr="007E2558">
        <w:trPr>
          <w:trHeight w:val="322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Koperta dla Polski</w:t>
            </w:r>
          </w:p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(jeżeli dotyczy)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:rsidR="00772946" w:rsidRPr="009C09DF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C09DF">
              <w:rPr>
                <w:rFonts w:ascii="Arial" w:hAnsi="Arial" w:cs="Arial"/>
                <w:b/>
                <w:sz w:val="18"/>
                <w:szCs w:val="18"/>
              </w:rPr>
              <w:t>Budżet ogółem</w:t>
            </w: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772946" w:rsidRPr="009C09DF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C09DF">
              <w:rPr>
                <w:rFonts w:ascii="Arial" w:hAnsi="Arial" w:cs="Arial"/>
                <w:b/>
                <w:sz w:val="18"/>
                <w:szCs w:val="18"/>
              </w:rPr>
              <w:t>Dostępne środki</w:t>
            </w:r>
            <w:r w:rsidRPr="009C09DF">
              <w:rPr>
                <w:rFonts w:ascii="Arial" w:hAnsi="Arial" w:cs="Arial"/>
                <w:sz w:val="18"/>
                <w:szCs w:val="18"/>
              </w:rPr>
              <w:t xml:space="preserve"> (wg stanu na dzień …)</w:t>
            </w:r>
          </w:p>
        </w:tc>
      </w:tr>
      <w:tr w:rsidR="00772946" w:rsidTr="007E2558">
        <w:trPr>
          <w:trHeight w:val="322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Default="00772946" w:rsidP="002870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72946" w:rsidRPr="009C09DF" w:rsidRDefault="00957865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Pr="009C09DF" w:rsidRDefault="00957865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72946" w:rsidTr="007E2558">
        <w:trPr>
          <w:trHeight w:val="315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Udział w budżecie (na podstawie zawartych umów)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:rsidR="00772946" w:rsidRPr="009C09DF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C09DF">
              <w:rPr>
                <w:rFonts w:ascii="Arial" w:hAnsi="Arial" w:cs="Arial"/>
                <w:b/>
                <w:sz w:val="18"/>
                <w:szCs w:val="18"/>
              </w:rPr>
              <w:t xml:space="preserve">Polska </w:t>
            </w:r>
            <w:r w:rsidRPr="009C09DF">
              <w:rPr>
                <w:rFonts w:ascii="Arial" w:hAnsi="Arial" w:cs="Arial"/>
                <w:sz w:val="18"/>
                <w:szCs w:val="18"/>
              </w:rPr>
              <w:t>(wg stanu na dzień…)</w:t>
            </w: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772946" w:rsidRPr="009C09DF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C09DF">
              <w:rPr>
                <w:rFonts w:ascii="Arial" w:hAnsi="Arial" w:cs="Arial"/>
                <w:b/>
                <w:sz w:val="18"/>
                <w:szCs w:val="18"/>
              </w:rPr>
              <w:t xml:space="preserve">Pomorskie </w:t>
            </w:r>
            <w:r w:rsidRPr="009C09DF">
              <w:rPr>
                <w:rFonts w:ascii="Arial" w:hAnsi="Arial" w:cs="Arial"/>
                <w:sz w:val="18"/>
                <w:szCs w:val="18"/>
              </w:rPr>
              <w:t>(wg stanu na dzień …)</w:t>
            </w:r>
          </w:p>
        </w:tc>
      </w:tr>
      <w:tr w:rsidR="00772946" w:rsidTr="007E2558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Default="00772946" w:rsidP="002870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946" w:rsidRPr="00957865" w:rsidRDefault="00957865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5786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Pr="00957865" w:rsidRDefault="00957865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5786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270B0" w:rsidTr="001270B0">
        <w:trPr>
          <w:trHeight w:val="1066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1270B0" w:rsidRDefault="001270B0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Rodzaj finansowania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1270B0" w:rsidRPr="00693628" w:rsidRDefault="001270B0" w:rsidP="001270B0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693628">
              <w:rPr>
                <w:rFonts w:ascii="Arial" w:hAnsi="Arial" w:cs="Arial"/>
                <w:sz w:val="18"/>
                <w:szCs w:val="18"/>
              </w:rPr>
              <w:t>Program może zapewniać finansowanie w dowolnej formie i na zasadach przewidzianych w rozporządzeniu finansowym, w tym w postaci:</w:t>
            </w:r>
          </w:p>
          <w:p w:rsidR="001270B0" w:rsidRPr="00693628" w:rsidRDefault="00BE2DC3" w:rsidP="001270B0">
            <w:pPr>
              <w:pStyle w:val="Akapitzlist"/>
              <w:numPr>
                <w:ilvl w:val="0"/>
                <w:numId w:val="14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693628">
              <w:rPr>
                <w:rFonts w:ascii="Arial" w:hAnsi="Arial" w:cs="Arial"/>
                <w:sz w:val="18"/>
                <w:szCs w:val="18"/>
              </w:rPr>
              <w:t>Dotacji,</w:t>
            </w:r>
          </w:p>
          <w:p w:rsidR="001270B0" w:rsidRPr="00693628" w:rsidRDefault="001270B0" w:rsidP="001270B0">
            <w:pPr>
              <w:pStyle w:val="Akapitzlist"/>
              <w:numPr>
                <w:ilvl w:val="0"/>
                <w:numId w:val="14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693628">
              <w:rPr>
                <w:rFonts w:ascii="Arial" w:hAnsi="Arial" w:cs="Arial"/>
                <w:sz w:val="18"/>
                <w:szCs w:val="18"/>
              </w:rPr>
              <w:t>Nagród</w:t>
            </w:r>
            <w:r w:rsidR="00BE2DC3" w:rsidRPr="0069362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E2DC3" w:rsidRPr="00693628" w:rsidRDefault="00957865" w:rsidP="00BE2DC3">
            <w:pPr>
              <w:pStyle w:val="Akapitzlist"/>
              <w:numPr>
                <w:ilvl w:val="0"/>
                <w:numId w:val="14"/>
              </w:num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3628">
              <w:rPr>
                <w:rFonts w:ascii="Arial" w:hAnsi="Arial" w:cs="Arial"/>
                <w:sz w:val="18"/>
                <w:szCs w:val="18"/>
              </w:rPr>
              <w:t>Zamówień</w:t>
            </w:r>
            <w:r w:rsidR="00BE2DC3" w:rsidRPr="0069362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2EA1" w:rsidRPr="00BE2DC3" w:rsidRDefault="00B52EA1" w:rsidP="00B52EA1">
            <w:pPr>
              <w:pStyle w:val="Akapitzlist"/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2946" w:rsidTr="002870B8">
        <w:trPr>
          <w:trHeight w:val="168"/>
        </w:trPr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Zasięg terytorialny</w:t>
            </w:r>
          </w:p>
        </w:tc>
        <w:tc>
          <w:tcPr>
            <w:tcW w:w="766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23BD" w:rsidRPr="007323BD" w:rsidRDefault="007323BD" w:rsidP="007323BD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7323BD">
              <w:rPr>
                <w:rFonts w:ascii="Arial" w:hAnsi="Arial" w:cs="Arial"/>
                <w:sz w:val="18"/>
                <w:szCs w:val="18"/>
              </w:rPr>
              <w:t>W ramach Programu kwalifikują się następujące podmioty:</w:t>
            </w:r>
          </w:p>
          <w:p w:rsidR="007323BD" w:rsidRPr="007323BD" w:rsidRDefault="007323BD" w:rsidP="007323BD">
            <w:pPr>
              <w:numPr>
                <w:ilvl w:val="1"/>
                <w:numId w:val="47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7323BD">
              <w:rPr>
                <w:rFonts w:ascii="Arial" w:hAnsi="Arial" w:cs="Arial"/>
                <w:sz w:val="18"/>
                <w:szCs w:val="18"/>
              </w:rPr>
              <w:t>podmioty prawne z siedzibą w:</w:t>
            </w:r>
          </w:p>
          <w:p w:rsidR="007323BD" w:rsidRPr="003E081E" w:rsidRDefault="007323BD" w:rsidP="003E081E">
            <w:pPr>
              <w:pStyle w:val="Akapitzlist"/>
              <w:numPr>
                <w:ilvl w:val="0"/>
                <w:numId w:val="48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3E081E">
              <w:rPr>
                <w:rFonts w:ascii="Arial" w:hAnsi="Arial" w:cs="Arial"/>
                <w:sz w:val="18"/>
                <w:szCs w:val="18"/>
              </w:rPr>
              <w:t>państwie członkowskim lub powiązanym z nim krajem lub terytorium zamorskim; lub</w:t>
            </w:r>
          </w:p>
          <w:p w:rsidR="007323BD" w:rsidRPr="003E081E" w:rsidRDefault="007323BD" w:rsidP="003E081E">
            <w:pPr>
              <w:pStyle w:val="Akapitzlist"/>
              <w:numPr>
                <w:ilvl w:val="0"/>
                <w:numId w:val="48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3E081E">
              <w:rPr>
                <w:rFonts w:ascii="Arial" w:hAnsi="Arial" w:cs="Arial"/>
                <w:sz w:val="18"/>
                <w:szCs w:val="18"/>
              </w:rPr>
              <w:t>państwie trzecim stowarzyszonym z Programem;</w:t>
            </w:r>
          </w:p>
          <w:p w:rsidR="007323BD" w:rsidRPr="003E081E" w:rsidRDefault="007323BD" w:rsidP="003E081E">
            <w:pPr>
              <w:pStyle w:val="Akapitzlist"/>
              <w:numPr>
                <w:ilvl w:val="1"/>
                <w:numId w:val="47"/>
              </w:numPr>
              <w:spacing w:after="60" w:line="360" w:lineRule="auto"/>
              <w:ind w:left="649" w:hanging="649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E081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podmioty prawne utworzone na mocy prawa unijnego lub organizacje międzynarodowe;</w:t>
            </w:r>
          </w:p>
          <w:p w:rsidR="00B52EA1" w:rsidRPr="003E081E" w:rsidRDefault="007323BD" w:rsidP="00B52EA1">
            <w:pPr>
              <w:pStyle w:val="Akapitzlist"/>
              <w:numPr>
                <w:ilvl w:val="1"/>
                <w:numId w:val="47"/>
              </w:numPr>
              <w:spacing w:after="60" w:line="360" w:lineRule="auto"/>
              <w:ind w:left="649" w:hanging="649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E081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na zasadzie wyjątku, podmioty prawne z siedzibą w państwie trzecim, które nie jest stowarzyszone z Programem, pod warunkiem że uczestnictwo tych podmiotów prawnych w danym działaniu wchodzi w zakres celów Programu, a działalność prowadzona poza Unią przyczynia się do zwiększenia skuteczności interwencji przeprowadzanych na terytoriach państw członkowskich, do których mają zastosowanie Traktaty</w:t>
            </w:r>
            <w:r w:rsidR="003E081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772946" w:rsidTr="00B52EA1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Minimalne wymogi dla projektu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8A0" w:rsidRPr="00500482" w:rsidRDefault="00B52EA1" w:rsidP="00500482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B52EA1">
              <w:rPr>
                <w:rFonts w:ascii="Arial" w:hAnsi="Arial" w:cs="Arial"/>
                <w:sz w:val="18"/>
                <w:szCs w:val="18"/>
              </w:rPr>
              <w:t>Prace komisji oceniających opierają się na ogólnych zasadach mających zastosowanie do dotacji, które to zasady ustanowiono w art. 188 rozporządzenia finansowego, a w szczególności na zasadach równego traktowania i przejrzystości, a także na zasadzie niedyskryminacji.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52EA1">
              <w:rPr>
                <w:rFonts w:ascii="Arial" w:hAnsi="Arial" w:cs="Arial"/>
                <w:sz w:val="18"/>
                <w:szCs w:val="18"/>
              </w:rPr>
              <w:t>Komisje oceniające oceniają wnioski w oparciu o kryteria wyboru, takie jak adekwatność proponowanych działań w świetle wyznaczonych celów, jakość proponowanych działań, skutki, w tym gospodarcze, społeczne i środowiskowe, budżet i efektywność pod względem kosztów.</w:t>
            </w:r>
          </w:p>
        </w:tc>
      </w:tr>
      <w:tr w:rsidR="00772946" w:rsidTr="00500482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DD0CF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Główne kategorie </w:t>
            </w:r>
            <w:r w:rsidR="00DD0CF8">
              <w:rPr>
                <w:rFonts w:ascii="Arial" w:hAnsi="Arial" w:cs="Arial"/>
                <w:b/>
                <w:sz w:val="18"/>
                <w:szCs w:val="18"/>
              </w:rPr>
              <w:t xml:space="preserve">działań </w:t>
            </w:r>
            <w:r>
              <w:rPr>
                <w:rFonts w:ascii="Arial" w:hAnsi="Arial" w:cs="Arial"/>
                <w:b/>
                <w:sz w:val="18"/>
                <w:szCs w:val="18"/>
              </w:rPr>
              <w:t>kwalifikowalnych (ew. wyłączenia)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35867" w:rsidRPr="00735867" w:rsidRDefault="00735867" w:rsidP="007358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b/>
                <w:bCs/>
                <w:sz w:val="18"/>
                <w:szCs w:val="18"/>
              </w:rPr>
              <w:t>Działania kwalifikowalne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B67089" w:rsidRDefault="00735867" w:rsidP="002B6818">
            <w:pPr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sz w:val="18"/>
                <w:szCs w:val="18"/>
              </w:rPr>
              <w:t>Do finansowania kwalifikują się wyłącznie dz</w:t>
            </w:r>
            <w:r>
              <w:rPr>
                <w:rFonts w:ascii="Arial" w:hAnsi="Arial" w:cs="Arial"/>
                <w:sz w:val="18"/>
                <w:szCs w:val="18"/>
              </w:rPr>
              <w:t xml:space="preserve">iałania służące realizacji w/w celów </w:t>
            </w:r>
            <w:r w:rsidR="00B67089">
              <w:rPr>
                <w:rFonts w:ascii="Arial" w:hAnsi="Arial" w:cs="Arial"/>
                <w:sz w:val="18"/>
                <w:szCs w:val="18"/>
              </w:rPr>
              <w:t>szczegółowych:</w:t>
            </w:r>
          </w:p>
          <w:p w:rsidR="00735867" w:rsidRDefault="00735867" w:rsidP="002B6818">
            <w:pPr>
              <w:pStyle w:val="Akapitzlist"/>
              <w:numPr>
                <w:ilvl w:val="0"/>
                <w:numId w:val="33"/>
              </w:numPr>
              <w:ind w:left="228" w:hanging="228"/>
              <w:rPr>
                <w:rFonts w:ascii="Arial" w:hAnsi="Arial" w:cs="Arial"/>
                <w:sz w:val="18"/>
                <w:szCs w:val="18"/>
              </w:rPr>
            </w:pPr>
            <w:r w:rsidRPr="00B67089">
              <w:rPr>
                <w:rFonts w:ascii="Arial" w:hAnsi="Arial" w:cs="Arial"/>
                <w:sz w:val="18"/>
                <w:szCs w:val="18"/>
              </w:rPr>
              <w:t>tworzenie właściwych warunków służących wzmacnianiu pozycji wszystkich podmiotów rynku wewnętrznego, w tym przedsiębiorstw, obywateli, konsumentów, przedstawicieli społeczeństwa obywatelskiego i organów publicznych, poprzez przejrzystą wymianę info</w:t>
            </w:r>
            <w:r w:rsidR="00B67089">
              <w:rPr>
                <w:rFonts w:ascii="Arial" w:hAnsi="Arial" w:cs="Arial"/>
                <w:sz w:val="18"/>
                <w:szCs w:val="18"/>
              </w:rPr>
              <w:t>rmacji i kampanie informacyjne;</w:t>
            </w:r>
          </w:p>
          <w:p w:rsidR="00735867" w:rsidRPr="00B67089" w:rsidRDefault="00735867" w:rsidP="002B6818">
            <w:pPr>
              <w:pStyle w:val="Akapitzlist"/>
              <w:numPr>
                <w:ilvl w:val="0"/>
                <w:numId w:val="33"/>
              </w:numPr>
              <w:ind w:left="228" w:hanging="228"/>
              <w:rPr>
                <w:rFonts w:ascii="Arial" w:hAnsi="Arial" w:cs="Arial"/>
                <w:sz w:val="18"/>
                <w:szCs w:val="18"/>
              </w:rPr>
            </w:pPr>
            <w:r w:rsidRPr="00B67089">
              <w:rPr>
                <w:rFonts w:ascii="Arial" w:hAnsi="Arial" w:cs="Arial"/>
                <w:sz w:val="18"/>
                <w:szCs w:val="18"/>
              </w:rPr>
              <w:t>zapewnianie mechanizmów umożliwiających obywatelom, konsumentom, użytkownikom końcowym oraz przedstawicielom społeczeństwa obywatelskiego, w tym przedstawicielom partnerów społecznych i przedstawicielom przedsiębiorstw z Unii, w szczególności tym reprezentującym MŚP, wnoszenie wkładu w dyskusje polityczne, polityki i proces decyzyjny, zwłaszcza poprzez wspieranie funkcjonowania organizacji przedstawicielskich na poziomach krajowym i unijnym;</w:t>
            </w:r>
          </w:p>
          <w:p w:rsidR="00735867" w:rsidRPr="00B67089" w:rsidRDefault="00735867" w:rsidP="002B6818">
            <w:pPr>
              <w:pStyle w:val="Akapitzlist"/>
              <w:numPr>
                <w:ilvl w:val="0"/>
                <w:numId w:val="33"/>
              </w:numPr>
              <w:ind w:left="228" w:hanging="228"/>
              <w:rPr>
                <w:rFonts w:ascii="Arial" w:hAnsi="Arial" w:cs="Arial"/>
                <w:sz w:val="18"/>
                <w:szCs w:val="18"/>
              </w:rPr>
            </w:pPr>
            <w:r w:rsidRPr="00B67089">
              <w:rPr>
                <w:rFonts w:ascii="Arial" w:hAnsi="Arial" w:cs="Arial"/>
                <w:sz w:val="18"/>
                <w:szCs w:val="18"/>
              </w:rPr>
              <w:t>budowanie zdolności, ułatwianie i koordynowanie wspólnych działań między państwami członkowskimi, między właściwymi organami państw członkowskich oraz między właściwymi organami państw członkowskich a Komisją, agencjami zdecentralizowanymi Unii i organami państw trzecich, w tym wspólnych działań służących zwiększaniu bezpieczeństwa produktów;</w:t>
            </w:r>
          </w:p>
          <w:p w:rsidR="00735867" w:rsidRPr="00B67089" w:rsidRDefault="00735867" w:rsidP="002B6818">
            <w:pPr>
              <w:pStyle w:val="Akapitzlist"/>
              <w:numPr>
                <w:ilvl w:val="0"/>
                <w:numId w:val="33"/>
              </w:numPr>
              <w:ind w:left="228" w:hanging="228"/>
              <w:rPr>
                <w:rFonts w:ascii="Arial" w:hAnsi="Arial" w:cs="Arial"/>
                <w:sz w:val="18"/>
                <w:szCs w:val="18"/>
              </w:rPr>
            </w:pPr>
            <w:r w:rsidRPr="00B67089">
              <w:rPr>
                <w:rFonts w:ascii="Arial" w:hAnsi="Arial" w:cs="Arial"/>
                <w:sz w:val="18"/>
                <w:szCs w:val="18"/>
              </w:rPr>
              <w:t>wspieranie skutecznego egzekwowania i modernizacji ram prawnych Unii oraz ich szybkiego dostosowywania w celu umożliwienia Unii skutecznego stawienia czoła globalnej konkurencji, a także wsparcie wysiłków na rzecz rozwiązywania kwestii wynikających z cyfryzacji, w tym poprzez następujące działania:</w:t>
            </w:r>
          </w:p>
          <w:p w:rsidR="00735867" w:rsidRPr="00B67089" w:rsidRDefault="00735867" w:rsidP="00B67089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B67089">
              <w:rPr>
                <w:rFonts w:ascii="Arial" w:hAnsi="Arial" w:cs="Arial"/>
                <w:sz w:val="18"/>
                <w:szCs w:val="18"/>
              </w:rPr>
              <w:t>gromadzenie i analizę danych;</w:t>
            </w:r>
          </w:p>
          <w:p w:rsidR="00735867" w:rsidRPr="00B67089" w:rsidRDefault="00735867" w:rsidP="00B67089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B67089">
              <w:rPr>
                <w:rFonts w:ascii="Arial" w:hAnsi="Arial" w:cs="Arial"/>
                <w:sz w:val="18"/>
                <w:szCs w:val="18"/>
              </w:rPr>
              <w:lastRenderedPageBreak/>
              <w:t>badania dotyczące funkcjonowania rynku wewnętrznego, analizy, ewaluacje i zalecenia dotyczące polityki;</w:t>
            </w:r>
          </w:p>
          <w:p w:rsidR="00735867" w:rsidRPr="00B67089" w:rsidRDefault="00735867" w:rsidP="00B67089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B67089">
              <w:rPr>
                <w:rFonts w:ascii="Arial" w:hAnsi="Arial" w:cs="Arial"/>
                <w:sz w:val="18"/>
                <w:szCs w:val="18"/>
              </w:rPr>
              <w:t>organizowanie działań demonstracyjnych i projektów pilotażowych;</w:t>
            </w:r>
          </w:p>
          <w:p w:rsidR="00735867" w:rsidRPr="00735867" w:rsidRDefault="00735867" w:rsidP="002B6818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sz w:val="18"/>
                <w:szCs w:val="18"/>
              </w:rPr>
              <w:t>działania komunikacyjne;</w:t>
            </w:r>
          </w:p>
          <w:p w:rsidR="00735867" w:rsidRPr="00735867" w:rsidRDefault="00735867" w:rsidP="002B6818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sz w:val="18"/>
                <w:szCs w:val="18"/>
              </w:rPr>
              <w:t xml:space="preserve">opracowywanie specjalnych narzędzi informatycznych służących zapewnieniu przejrzystego i wydajnego funkcjonowania rynku wewnętrznego, a także zwalczaniu nieuczciwych praktyk w </w:t>
            </w:r>
            <w:proofErr w:type="spellStart"/>
            <w:r w:rsidRPr="00735867">
              <w:rPr>
                <w:rFonts w:ascii="Arial" w:hAnsi="Arial" w:cs="Arial"/>
                <w:sz w:val="18"/>
                <w:szCs w:val="18"/>
              </w:rPr>
              <w:t>internecie</w:t>
            </w:r>
            <w:proofErr w:type="spellEnd"/>
            <w:r w:rsidRPr="00735867">
              <w:rPr>
                <w:rFonts w:ascii="Arial" w:hAnsi="Arial" w:cs="Arial"/>
                <w:sz w:val="18"/>
                <w:szCs w:val="18"/>
              </w:rPr>
              <w:t xml:space="preserve"> oraz zapobieganiu takim praktykom.</w:t>
            </w:r>
          </w:p>
          <w:p w:rsidR="00735867" w:rsidRPr="002B6818" w:rsidRDefault="002B6818" w:rsidP="002B6818">
            <w:pPr>
              <w:pStyle w:val="Akapitzlist"/>
              <w:numPr>
                <w:ilvl w:val="0"/>
                <w:numId w:val="35"/>
              </w:numPr>
              <w:ind w:left="228" w:hanging="2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służące realizacji celu szczegółowego nr 1 powyżej (zwiększenie</w:t>
            </w:r>
            <w:r w:rsidRPr="002B6818">
              <w:rPr>
                <w:rFonts w:ascii="Arial" w:hAnsi="Arial" w:cs="Arial"/>
                <w:sz w:val="18"/>
                <w:szCs w:val="18"/>
              </w:rPr>
              <w:t xml:space="preserve"> skuteczności rynku wewnętrznego, m.in. w świetle transformacji cyfrowej</w:t>
            </w:r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="00735867" w:rsidRPr="00735867">
              <w:rPr>
                <w:rFonts w:ascii="Arial" w:hAnsi="Arial" w:cs="Arial"/>
                <w:sz w:val="18"/>
                <w:szCs w:val="18"/>
              </w:rPr>
              <w:t>koordynacja działań organów nadzoru rynku i innych odpowiednich organów państw członkowskich oraz współpraca między nimi, w szczególności w ramach Unijnej Sieci ds. Zgodności Produktów;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5867" w:rsidRPr="002B6818">
              <w:rPr>
                <w:rFonts w:ascii="Arial" w:hAnsi="Arial" w:cs="Arial"/>
                <w:sz w:val="18"/>
                <w:szCs w:val="18"/>
              </w:rPr>
              <w:t>wsparcie opracowywania wspólnych działań i badań w dziedzinie zgodności z wymogami, w tym w odniesieniu do produktów skomunikowanych i produkt</w:t>
            </w:r>
            <w:r>
              <w:rPr>
                <w:rFonts w:ascii="Arial" w:hAnsi="Arial" w:cs="Arial"/>
                <w:sz w:val="18"/>
                <w:szCs w:val="18"/>
              </w:rPr>
              <w:t xml:space="preserve">ów sprzedawanych przez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internet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35867" w:rsidRPr="002B6818">
              <w:rPr>
                <w:rFonts w:ascii="Arial" w:hAnsi="Arial" w:cs="Arial"/>
                <w:sz w:val="18"/>
                <w:szCs w:val="18"/>
              </w:rPr>
              <w:t>wspieranie strategii nadzoru rynku, gromadzenia wiedzy i informacji, możliwości badawczych i jednostek badawczych, wzajemnych ocen, programów szkoleniowych, pomocy technicznej i budowania zdolności organów nadzoru rynku.</w:t>
            </w:r>
          </w:p>
          <w:p w:rsidR="0075661F" w:rsidRDefault="002B6818" w:rsidP="0075661F">
            <w:pPr>
              <w:pStyle w:val="Akapitzlist"/>
              <w:numPr>
                <w:ilvl w:val="0"/>
                <w:numId w:val="35"/>
              </w:numPr>
              <w:ind w:left="228" w:hanging="228"/>
              <w:rPr>
                <w:rFonts w:ascii="Arial" w:hAnsi="Arial" w:cs="Arial"/>
                <w:sz w:val="18"/>
                <w:szCs w:val="18"/>
              </w:rPr>
            </w:pPr>
            <w:r w:rsidRPr="002B6818">
              <w:rPr>
                <w:rFonts w:ascii="Arial" w:hAnsi="Arial" w:cs="Arial"/>
                <w:sz w:val="18"/>
                <w:szCs w:val="18"/>
              </w:rPr>
              <w:t>służące realizacji c</w:t>
            </w:r>
            <w:r w:rsidR="0075661F">
              <w:rPr>
                <w:rFonts w:ascii="Arial" w:hAnsi="Arial" w:cs="Arial"/>
                <w:sz w:val="18"/>
                <w:szCs w:val="18"/>
              </w:rPr>
              <w:t>elu szczegółowego nr 2</w:t>
            </w:r>
            <w:r w:rsidRPr="002B6818">
              <w:rPr>
                <w:rFonts w:ascii="Arial" w:hAnsi="Arial" w:cs="Arial"/>
                <w:sz w:val="18"/>
                <w:szCs w:val="18"/>
              </w:rPr>
              <w:t xml:space="preserve">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661F">
              <w:rPr>
                <w:rFonts w:ascii="Arial" w:hAnsi="Arial" w:cs="Arial"/>
                <w:sz w:val="18"/>
                <w:szCs w:val="18"/>
              </w:rPr>
              <w:t>(</w:t>
            </w:r>
            <w:r w:rsidR="0075661F" w:rsidRPr="0075661F">
              <w:rPr>
                <w:rFonts w:ascii="Arial" w:hAnsi="Arial" w:cs="Arial"/>
                <w:sz w:val="18"/>
                <w:szCs w:val="18"/>
              </w:rPr>
              <w:t>wzmacnianie konkurencyjności i </w:t>
            </w:r>
            <w:proofErr w:type="spellStart"/>
            <w:r w:rsidR="0075661F" w:rsidRPr="0075661F">
              <w:rPr>
                <w:rFonts w:ascii="Arial" w:hAnsi="Arial" w:cs="Arial"/>
                <w:sz w:val="18"/>
                <w:szCs w:val="18"/>
              </w:rPr>
              <w:t>zrównoważoności</w:t>
            </w:r>
            <w:proofErr w:type="spellEnd"/>
            <w:r w:rsidR="0075661F" w:rsidRPr="0075661F">
              <w:rPr>
                <w:rFonts w:ascii="Arial" w:hAnsi="Arial" w:cs="Arial"/>
                <w:sz w:val="18"/>
                <w:szCs w:val="18"/>
              </w:rPr>
              <w:t xml:space="preserve"> MŚP</w:t>
            </w:r>
            <w:r w:rsidR="0075661F"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75661F" w:rsidRPr="0075661F" w:rsidRDefault="00735867" w:rsidP="0075661F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75661F">
              <w:rPr>
                <w:rFonts w:ascii="Arial" w:hAnsi="Arial" w:cs="Arial"/>
                <w:sz w:val="18"/>
                <w:szCs w:val="18"/>
              </w:rPr>
              <w:t>zapewnianie różnych form wsparcia dla MŚP, w tym informacji, mentoringu, szkoleń, edukacji, mobilności, współpracy transgranicznej lub usług doradczych;</w:t>
            </w:r>
            <w:r w:rsidR="0075661F" w:rsidRPr="007566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35867" w:rsidRPr="0075661F" w:rsidRDefault="00735867" w:rsidP="0075661F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75661F">
              <w:rPr>
                <w:rFonts w:ascii="Arial" w:hAnsi="Arial" w:cs="Arial"/>
                <w:sz w:val="18"/>
                <w:szCs w:val="18"/>
              </w:rPr>
              <w:t>ułatwianie – w koordynacji z państwami członkowskimi – MŚP, klastrom i organizacjom sieci przedsiębiorstw dostępu do rynków w obrębie Unii i poza nią, wspieranie tych podmiotów w całym cyklu ich życia, w stawianiu czoła globalnym środowiskowym, gospodarczym i społecznym wyzwaniom oraz w internacjonalizacji działalności gospodarczej, a także umacnianie wiodącej pozycji Unii w zakresie przedsiębiorczości i przemysłu w globalnych łańcuchach wartości;</w:t>
            </w:r>
          </w:p>
          <w:p w:rsidR="00735867" w:rsidRPr="0075661F" w:rsidRDefault="00735867" w:rsidP="0075661F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sz w:val="18"/>
                <w:szCs w:val="18"/>
              </w:rPr>
              <w:t xml:space="preserve">wspieranie prac Europejskiej Sieci Przedsiębiorczości (EEN) w celu zapewnienia unijnym MŚP zintegrowanych usług wsparcia przedsiębiorstw, w tym udzielania tym MŚP pomocy w znalezieniu partnerów biznesowych i finansowania, w szczególności z </w:t>
            </w:r>
            <w:proofErr w:type="spellStart"/>
            <w:r w:rsidRPr="00735867">
              <w:rPr>
                <w:rFonts w:ascii="Arial" w:hAnsi="Arial" w:cs="Arial"/>
                <w:sz w:val="18"/>
                <w:szCs w:val="18"/>
              </w:rPr>
              <w:t>InvestEU</w:t>
            </w:r>
            <w:proofErr w:type="spellEnd"/>
            <w:r w:rsidRPr="00735867">
              <w:rPr>
                <w:rFonts w:ascii="Arial" w:hAnsi="Arial" w:cs="Arial"/>
                <w:sz w:val="18"/>
                <w:szCs w:val="18"/>
              </w:rPr>
              <w:t xml:space="preserve">, programu „Horyzont </w:t>
            </w:r>
            <w:proofErr w:type="spellStart"/>
            <w:r w:rsidRPr="00735867">
              <w:rPr>
                <w:rFonts w:ascii="Arial" w:hAnsi="Arial" w:cs="Arial"/>
                <w:sz w:val="18"/>
                <w:szCs w:val="18"/>
              </w:rPr>
              <w:t>Europa”i</w:t>
            </w:r>
            <w:proofErr w:type="spellEnd"/>
            <w:r w:rsidRPr="00735867">
              <w:rPr>
                <w:rFonts w:ascii="Arial" w:hAnsi="Arial" w:cs="Arial"/>
                <w:sz w:val="18"/>
                <w:szCs w:val="18"/>
              </w:rPr>
              <w:t xml:space="preserve"> programu „Cyfrowa Europa”, ułatwienia tym MŚP absorpcji </w:t>
            </w:r>
            <w:r w:rsidRPr="0075661F">
              <w:rPr>
                <w:rFonts w:ascii="Arial" w:hAnsi="Arial" w:cs="Arial"/>
                <w:sz w:val="18"/>
                <w:szCs w:val="18"/>
              </w:rPr>
              <w:t xml:space="preserve">innowacji, ich internacjonalizacji oraz ich zielonej i cyfrowej transformacji, udzielania im pomocy w dostępie do wiedzy fachowej w zakresie cyfryzacji, środowiska, klimatu, energii i </w:t>
            </w:r>
            <w:proofErr w:type="spellStart"/>
            <w:r w:rsidRPr="0075661F">
              <w:rPr>
                <w:rFonts w:ascii="Arial" w:hAnsi="Arial" w:cs="Arial"/>
                <w:sz w:val="18"/>
                <w:szCs w:val="18"/>
              </w:rPr>
              <w:t>zasobooszczędności</w:t>
            </w:r>
            <w:proofErr w:type="spellEnd"/>
            <w:r w:rsidRPr="0075661F">
              <w:rPr>
                <w:rFonts w:ascii="Arial" w:hAnsi="Arial" w:cs="Arial"/>
                <w:sz w:val="18"/>
                <w:szCs w:val="18"/>
              </w:rPr>
              <w:t>, aby ułatwić im badanie możliwości na rynku wewnętrznym i w państwach trzecich; a jednocześnie uniknąć powielania działań dzięki ścisłej koordynacji z państwami członkowskimi zgodnie z zasadą pomocniczości i z uwzględnieniem potrzeby zapewnienia, że gdy EEN jest wykorzystywana do świadczenia usług w imieniu innych programów unijnych, w tym usług doradczych lub w zakresie budowania zdolności; usługi te mają być finansowane z tych innych programów unijnych;</w:t>
            </w:r>
          </w:p>
          <w:p w:rsidR="00735867" w:rsidRPr="00735867" w:rsidRDefault="00735867" w:rsidP="0075661F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sz w:val="18"/>
                <w:szCs w:val="18"/>
              </w:rPr>
              <w:t>eliminowanie barier rynkowych i obciążenia administracyjnego oraz tworzenie sprzyjającego otoczenia biznesowego w celu umożliwienia MŚP czerpania korzyści z rynku wewnętrznego;</w:t>
            </w:r>
          </w:p>
          <w:p w:rsidR="00735867" w:rsidRPr="00735867" w:rsidRDefault="00735867" w:rsidP="0075661F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sz w:val="18"/>
                <w:szCs w:val="18"/>
              </w:rPr>
              <w:t>ułatwianie rozwoju i wzrostu przedsiębiorstw, również poprzez promowanie umiejętności technicznych, cyfrowych i w zakresie przedsiębiorczości, zrównoważonego zarządzania przedsiębiorstwami oraz rozwoju produktów i procesów w celu wspierania zielonej i cyfrowej transformacji we wszystkich ekosystemach przemysłowych i w całym łańcuchu wartości w sektorach produkcji i usług;</w:t>
            </w:r>
          </w:p>
          <w:p w:rsidR="00735867" w:rsidRPr="00735867" w:rsidRDefault="00735867" w:rsidP="0075661F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sz w:val="18"/>
                <w:szCs w:val="18"/>
              </w:rPr>
              <w:t xml:space="preserve">wspieranie konkurencyjności i </w:t>
            </w:r>
            <w:proofErr w:type="spellStart"/>
            <w:r w:rsidRPr="00735867">
              <w:rPr>
                <w:rFonts w:ascii="Arial" w:hAnsi="Arial" w:cs="Arial"/>
                <w:sz w:val="18"/>
                <w:szCs w:val="18"/>
              </w:rPr>
              <w:t>zrównoważoności</w:t>
            </w:r>
            <w:proofErr w:type="spellEnd"/>
            <w:r w:rsidRPr="00735867">
              <w:rPr>
                <w:rFonts w:ascii="Arial" w:hAnsi="Arial" w:cs="Arial"/>
                <w:sz w:val="18"/>
                <w:szCs w:val="18"/>
              </w:rPr>
              <w:t xml:space="preserve"> przedsiębiorstw oraz całych sektorów gospodarki, a także wspieranie MŚP w absorpcji kreatywności i wszystkich form innowacji, wzmacnianiu społecznej odpowiedzialności przedsiębiorstw, w przyjmowaniu nowych modeli biznesowych oraz we współpracy w ramach łańcucha wartości poprzez strategiczne łączenie ekosystemów i klastrów, łącznie ze wspólną inicjatywą na rzecz klastrów;</w:t>
            </w:r>
          </w:p>
          <w:p w:rsidR="00735867" w:rsidRPr="00735867" w:rsidRDefault="00735867" w:rsidP="0075661F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sz w:val="18"/>
                <w:szCs w:val="18"/>
              </w:rPr>
              <w:t>promowanie otoczenia biznesu sprzyjającego przedsiębiorczości oraz kultury przedsiębiorczości, w tym poprzez programy mentoringu i mobilności, aby poprawić know-how, umiejętności, potencjał technologiczny i zarządzanie przedsiębiorstwem, a także poprzez wspieranie przedsiębiorstw typu start-</w:t>
            </w:r>
            <w:proofErr w:type="spellStart"/>
            <w:r w:rsidRPr="00735867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Pr="0073586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35867">
              <w:rPr>
                <w:rFonts w:ascii="Arial" w:hAnsi="Arial" w:cs="Arial"/>
                <w:sz w:val="18"/>
                <w:szCs w:val="18"/>
              </w:rPr>
              <w:t>zrównoważoności</w:t>
            </w:r>
            <w:proofErr w:type="spellEnd"/>
            <w:r w:rsidRPr="00735867">
              <w:rPr>
                <w:rFonts w:ascii="Arial" w:hAnsi="Arial" w:cs="Arial"/>
                <w:sz w:val="18"/>
                <w:szCs w:val="18"/>
              </w:rPr>
              <w:t xml:space="preserve"> działalności gospodarczej oraz przedsiębiorstw typu </w:t>
            </w:r>
            <w:proofErr w:type="spellStart"/>
            <w:r w:rsidRPr="00735867">
              <w:rPr>
                <w:rFonts w:ascii="Arial" w:hAnsi="Arial" w:cs="Arial"/>
                <w:sz w:val="18"/>
                <w:szCs w:val="18"/>
              </w:rPr>
              <w:t>scale-up</w:t>
            </w:r>
            <w:proofErr w:type="spellEnd"/>
            <w:r w:rsidRPr="00735867">
              <w:rPr>
                <w:rFonts w:ascii="Arial" w:hAnsi="Arial" w:cs="Arial"/>
                <w:sz w:val="18"/>
                <w:szCs w:val="18"/>
              </w:rPr>
              <w:t>, w ramach konkretnych projektów w oparciu o możliwości rynkowe, przy zwróceniu szczególnej uwagi na konkretne potrzeby potencjalnych nowych przedsiębiorców oraz przedsiębiorców będących członkami grup niedostatecznie reprezentowanych.</w:t>
            </w:r>
          </w:p>
          <w:p w:rsidR="00735867" w:rsidRPr="00735867" w:rsidRDefault="00A518BC" w:rsidP="00A518BC">
            <w:pPr>
              <w:pStyle w:val="Akapitzlist"/>
              <w:numPr>
                <w:ilvl w:val="0"/>
                <w:numId w:val="35"/>
              </w:numPr>
              <w:ind w:left="228" w:hanging="228"/>
              <w:rPr>
                <w:rFonts w:ascii="Arial" w:hAnsi="Arial" w:cs="Arial"/>
                <w:sz w:val="18"/>
                <w:szCs w:val="18"/>
              </w:rPr>
            </w:pPr>
            <w:r w:rsidRPr="00A518BC">
              <w:rPr>
                <w:rFonts w:ascii="Arial" w:hAnsi="Arial" w:cs="Arial"/>
                <w:sz w:val="18"/>
                <w:szCs w:val="18"/>
              </w:rPr>
              <w:lastRenderedPageBreak/>
              <w:t>służące realizacji c</w:t>
            </w:r>
            <w:r>
              <w:rPr>
                <w:rFonts w:ascii="Arial" w:hAnsi="Arial" w:cs="Arial"/>
                <w:sz w:val="18"/>
                <w:szCs w:val="18"/>
              </w:rPr>
              <w:t>elu szczegółowego nr 3</w:t>
            </w:r>
            <w:r w:rsidRPr="00A518BC">
              <w:rPr>
                <w:rFonts w:ascii="Arial" w:hAnsi="Arial" w:cs="Arial"/>
                <w:sz w:val="18"/>
                <w:szCs w:val="18"/>
              </w:rPr>
              <w:t xml:space="preserve"> powyżej (Zapewnienie skutecznego funkcjonowania rynku wewnętrznego poprzez procesy normalizacji)</w:t>
            </w:r>
          </w:p>
          <w:p w:rsidR="00735867" w:rsidRPr="00735867" w:rsidRDefault="00735867" w:rsidP="00A518BC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sz w:val="18"/>
                <w:szCs w:val="18"/>
              </w:rPr>
              <w:t>zapewniające wsparcie dla działań mających na celu opracowywanie, stosowanie, ocenę i monitorowanie międzynarodowych standardów w dziedzinach sprawozdawczości finansowej i niefinansowej oraz rewizji finansowej, a także nadzór nad procesami stanowienia tych standardów.</w:t>
            </w:r>
          </w:p>
          <w:p w:rsidR="00A518BC" w:rsidRDefault="00A518BC" w:rsidP="00A518BC">
            <w:pPr>
              <w:pStyle w:val="Akapitzlist"/>
              <w:numPr>
                <w:ilvl w:val="0"/>
                <w:numId w:val="35"/>
              </w:numPr>
              <w:ind w:left="228" w:hanging="228"/>
              <w:rPr>
                <w:rFonts w:ascii="Arial" w:hAnsi="Arial" w:cs="Arial"/>
                <w:sz w:val="18"/>
                <w:szCs w:val="18"/>
              </w:rPr>
            </w:pPr>
            <w:r w:rsidRPr="00A518BC">
              <w:rPr>
                <w:rFonts w:ascii="Arial" w:hAnsi="Arial" w:cs="Arial"/>
                <w:sz w:val="18"/>
                <w:szCs w:val="18"/>
              </w:rPr>
              <w:t>służące re</w:t>
            </w:r>
            <w:r>
              <w:rPr>
                <w:rFonts w:ascii="Arial" w:hAnsi="Arial" w:cs="Arial"/>
                <w:sz w:val="18"/>
                <w:szCs w:val="18"/>
              </w:rPr>
              <w:t>alizacji celu szczegółowego nr 4</w:t>
            </w:r>
            <w:r w:rsidRPr="00A518BC">
              <w:rPr>
                <w:rFonts w:ascii="Arial" w:hAnsi="Arial" w:cs="Arial"/>
                <w:sz w:val="18"/>
                <w:szCs w:val="18"/>
              </w:rPr>
              <w:t xml:space="preserve"> powyżej (Promowanie interesów konsumentów oraz zapewnienie wysokiego poziomu ochrony konsumentów i bezpieczeństwa produktów)</w:t>
            </w:r>
            <w:r w:rsidR="00735867" w:rsidRPr="0073586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35867" w:rsidRPr="00735867" w:rsidRDefault="00735867" w:rsidP="00A518BC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sz w:val="18"/>
                <w:szCs w:val="18"/>
              </w:rPr>
              <w:t>zwiększanie świadomości, poprawa umiejętności cyfrowych i kształcenia przez całe życie konsumentów w zakresie ich praw, w tym w odniesieniu do kwestii związanych z rozwojem technologicznym i cyfryzacją, łącznie z uwzględnieniem szczególnych potrzeb konsumentów podatnych na zagrożenia;</w:t>
            </w:r>
          </w:p>
          <w:p w:rsidR="00735867" w:rsidRPr="00735867" w:rsidRDefault="00735867" w:rsidP="00A518BC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sz w:val="18"/>
                <w:szCs w:val="18"/>
              </w:rPr>
              <w:t>ułatwianie konsumentom i przedsiębiorcom dostępu do wysokiej jakości pozasądowego rozstrzygania sporów oraz internetowego systemu rozstrzygania sporów i informacji na temat możliwości dochodzenia roszczeń;</w:t>
            </w:r>
          </w:p>
          <w:p w:rsidR="00735867" w:rsidRPr="00735867" w:rsidRDefault="00735867" w:rsidP="00A518BC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sz w:val="18"/>
                <w:szCs w:val="18"/>
              </w:rPr>
              <w:t>wspieranie skuteczniejszego egzekwowania prawa ochrony konsumentów przez właściwe organy, w tym w sytuacjach, gdy przedsiębiorcy mają siedzibę w państwach trzecich, w szczególności poprzez efektywną współpracę i wspólne działania;</w:t>
            </w:r>
          </w:p>
          <w:p w:rsidR="00EC2A3C" w:rsidRDefault="00735867" w:rsidP="00A518BC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735867">
              <w:rPr>
                <w:rFonts w:ascii="Arial" w:hAnsi="Arial" w:cs="Arial"/>
                <w:sz w:val="18"/>
                <w:szCs w:val="18"/>
              </w:rPr>
              <w:t xml:space="preserve">promowanie zrównoważonej konsumpcji, w szczególności poprzez podnoszenie świadomości konsumentów na temat efektywności środowiskowej produktów w odniesieniu do cech, takich jak ich trwałość i </w:t>
            </w:r>
            <w:proofErr w:type="spellStart"/>
            <w:r w:rsidRPr="00735867">
              <w:rPr>
                <w:rFonts w:ascii="Arial" w:hAnsi="Arial" w:cs="Arial"/>
                <w:sz w:val="18"/>
                <w:szCs w:val="18"/>
              </w:rPr>
              <w:t>ekoprojekt</w:t>
            </w:r>
            <w:proofErr w:type="spellEnd"/>
            <w:r w:rsidRPr="00735867">
              <w:rPr>
                <w:rFonts w:ascii="Arial" w:hAnsi="Arial" w:cs="Arial"/>
                <w:sz w:val="18"/>
                <w:szCs w:val="18"/>
              </w:rPr>
              <w:t>, a także promowanie stosowania praw konsumentów i możliwości dochodzenia roszczeń w związku z wp</w:t>
            </w:r>
            <w:r w:rsidR="00A518BC">
              <w:rPr>
                <w:rFonts w:ascii="Arial" w:hAnsi="Arial" w:cs="Arial"/>
                <w:sz w:val="18"/>
                <w:szCs w:val="18"/>
              </w:rPr>
              <w:t>rowadzającymi w błąd praktykami,</w:t>
            </w:r>
          </w:p>
          <w:p w:rsidR="00A518BC" w:rsidRPr="00A518BC" w:rsidRDefault="00A518BC" w:rsidP="00A518BC">
            <w:pPr>
              <w:pStyle w:val="Akapitzlist"/>
              <w:numPr>
                <w:ilvl w:val="0"/>
                <w:numId w:val="35"/>
              </w:numPr>
              <w:ind w:left="228" w:hanging="228"/>
              <w:rPr>
                <w:rFonts w:ascii="Arial" w:hAnsi="Arial" w:cs="Arial"/>
                <w:sz w:val="18"/>
                <w:szCs w:val="18"/>
              </w:rPr>
            </w:pPr>
            <w:r w:rsidRPr="00A518BC">
              <w:rPr>
                <w:rFonts w:ascii="Arial" w:hAnsi="Arial" w:cs="Arial"/>
                <w:sz w:val="18"/>
                <w:szCs w:val="18"/>
              </w:rPr>
              <w:t>służące reali</w:t>
            </w:r>
            <w:r>
              <w:rPr>
                <w:rFonts w:ascii="Arial" w:hAnsi="Arial" w:cs="Arial"/>
                <w:sz w:val="18"/>
                <w:szCs w:val="18"/>
              </w:rPr>
              <w:t>zacji celu szczegółowego nr 5 i 6 powyżej.</w:t>
            </w:r>
          </w:p>
        </w:tc>
      </w:tr>
      <w:tr w:rsidR="00772946" w:rsidTr="001270B0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Niekonwencjonalne sposoby rozliczania kosztów / współfinansowania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939B1" w:rsidRDefault="005939B1" w:rsidP="003E081E">
            <w:pPr>
              <w:pStyle w:val="Akapitzlist"/>
              <w:numPr>
                <w:ilvl w:val="0"/>
                <w:numId w:val="35"/>
              </w:numPr>
              <w:spacing w:after="60"/>
              <w:ind w:left="82" w:firstLine="0"/>
              <w:rPr>
                <w:rFonts w:ascii="Arial" w:hAnsi="Arial" w:cs="Arial"/>
                <w:sz w:val="18"/>
                <w:szCs w:val="18"/>
              </w:rPr>
            </w:pPr>
            <w:r w:rsidRPr="005939B1">
              <w:rPr>
                <w:rFonts w:ascii="Arial" w:hAnsi="Arial" w:cs="Arial"/>
                <w:sz w:val="18"/>
                <w:szCs w:val="18"/>
              </w:rPr>
              <w:t>Działanie, które otrzymało wkład z innego programu Unii, może również otrzymać wkład w ramach Programu, pod warunkiem że wkłady te nie pokrywają tych samych kosztów. Zasady odnośnego programu Unii mają zastosowanie do odpowiedniego wkładu w działanie. Finansowanie skumulowane nie może przekraczać łącznych kosztów kwalifikowalnych działania. Wsparcie w ramach poszczególnych programów Unii może być obliczane proporcjonalnie, zgodnie z dokumentami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określającymi warunki wsparcia,</w:t>
            </w:r>
          </w:p>
          <w:p w:rsidR="007052E5" w:rsidRDefault="005939B1" w:rsidP="003E081E">
            <w:pPr>
              <w:pStyle w:val="Akapitzlist"/>
              <w:numPr>
                <w:ilvl w:val="0"/>
                <w:numId w:val="35"/>
              </w:numPr>
              <w:spacing w:after="60"/>
              <w:ind w:left="82" w:firstLine="0"/>
              <w:rPr>
                <w:rFonts w:ascii="Arial" w:hAnsi="Arial" w:cs="Arial"/>
                <w:sz w:val="18"/>
                <w:szCs w:val="18"/>
              </w:rPr>
            </w:pPr>
            <w:r w:rsidRPr="005939B1">
              <w:rPr>
                <w:rFonts w:ascii="Arial" w:hAnsi="Arial" w:cs="Arial"/>
                <w:sz w:val="18"/>
                <w:szCs w:val="18"/>
              </w:rPr>
              <w:t>Działania, którym przyznano znak „pieczęci doskonałości”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39B1">
              <w:rPr>
                <w:rFonts w:ascii="Arial" w:hAnsi="Arial" w:cs="Arial"/>
                <w:sz w:val="18"/>
                <w:szCs w:val="18"/>
              </w:rPr>
              <w:t>w ramach Programu, mogą otrzymać wsparcie z Europejskiego Funduszu Rozwoju Regionalnego lub Europejskiego Funduszu Społecznego Plus, jeżeli spełniają one następujące łączne warunki:</w:t>
            </w:r>
            <w:r w:rsidR="00610E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939B1" w:rsidRPr="005939B1" w:rsidRDefault="007052E5" w:rsidP="003E081E">
            <w:pPr>
              <w:pStyle w:val="Akapitzlist"/>
              <w:spacing w:after="60"/>
              <w:ind w:left="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939B1" w:rsidRPr="005939B1">
              <w:rPr>
                <w:rFonts w:ascii="Arial" w:hAnsi="Arial" w:cs="Arial"/>
                <w:sz w:val="18"/>
                <w:szCs w:val="18"/>
              </w:rPr>
              <w:t>zostały ocenione w kontekście zaproszenia do składania wniosków w ramach Programu;</w:t>
            </w:r>
          </w:p>
          <w:p w:rsidR="005939B1" w:rsidRDefault="007052E5" w:rsidP="003E081E">
            <w:pPr>
              <w:numPr>
                <w:ilvl w:val="1"/>
                <w:numId w:val="40"/>
              </w:numPr>
              <w:spacing w:after="60" w:line="240" w:lineRule="auto"/>
              <w:ind w:left="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939B1" w:rsidRPr="005939B1">
              <w:rPr>
                <w:rFonts w:ascii="Arial" w:hAnsi="Arial" w:cs="Arial"/>
                <w:sz w:val="18"/>
                <w:szCs w:val="18"/>
              </w:rPr>
              <w:t>spełniają minimalne wymagania jakościowe określone w tym zaproszeniu do składania wniosków;</w:t>
            </w:r>
          </w:p>
          <w:p w:rsidR="005939B1" w:rsidRPr="007052E5" w:rsidRDefault="007052E5" w:rsidP="003E081E">
            <w:pPr>
              <w:numPr>
                <w:ilvl w:val="1"/>
                <w:numId w:val="40"/>
              </w:numPr>
              <w:spacing w:after="60" w:line="240" w:lineRule="auto"/>
              <w:ind w:left="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939B1" w:rsidRPr="007052E5">
              <w:rPr>
                <w:rFonts w:ascii="Arial" w:hAnsi="Arial" w:cs="Arial"/>
                <w:sz w:val="18"/>
                <w:szCs w:val="18"/>
              </w:rPr>
              <w:t>nie jest możliwe ich finansowanie w ramach tego zaproszenia do składania wniosków z uwagi na ograniczenia budżetowe.</w:t>
            </w:r>
          </w:p>
          <w:p w:rsidR="000865BE" w:rsidRPr="007052E5" w:rsidRDefault="005939B1" w:rsidP="003E081E">
            <w:pPr>
              <w:numPr>
                <w:ilvl w:val="0"/>
                <w:numId w:val="43"/>
              </w:numPr>
              <w:spacing w:after="60" w:line="240" w:lineRule="auto"/>
              <w:ind w:left="82" w:hanging="82"/>
              <w:rPr>
                <w:rFonts w:ascii="Arial" w:hAnsi="Arial" w:cs="Arial"/>
                <w:sz w:val="18"/>
                <w:szCs w:val="18"/>
              </w:rPr>
            </w:pPr>
            <w:r w:rsidRPr="005939B1">
              <w:rPr>
                <w:rFonts w:ascii="Arial" w:hAnsi="Arial" w:cs="Arial"/>
                <w:sz w:val="18"/>
                <w:szCs w:val="18"/>
              </w:rPr>
              <w:t>Dana operacja może otrzymać wsparcie z jednego programu Unii lub z większej ich liczby. Jeżeli taka sytuacja zaistnieje, wydatki zadeklarowane we wniosku o płatność w ramach jednego programu nie mogą zostać zadeklarowane we wniosku o płatność w ramach innego programu.</w:t>
            </w:r>
          </w:p>
        </w:tc>
      </w:tr>
      <w:tr w:rsidR="00772946" w:rsidTr="002870B8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Instytucja zarządzająca</w:t>
            </w:r>
          </w:p>
        </w:tc>
        <w:tc>
          <w:tcPr>
            <w:tcW w:w="766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Pr="0057216A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57216A">
              <w:rPr>
                <w:rFonts w:ascii="Arial" w:hAnsi="Arial" w:cs="Arial"/>
                <w:sz w:val="18"/>
                <w:szCs w:val="18"/>
              </w:rPr>
              <w:t>Komisja Europejska</w:t>
            </w:r>
          </w:p>
        </w:tc>
      </w:tr>
      <w:tr w:rsidR="00772946" w:rsidRPr="00652939" w:rsidTr="00856E94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Agencja Wykonawcza (podmiot wdrażający)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92CF5" w:rsidRPr="00DC62AA" w:rsidRDefault="004C4E64" w:rsidP="003E081E">
            <w:pPr>
              <w:numPr>
                <w:ilvl w:val="0"/>
                <w:numId w:val="22"/>
              </w:numPr>
              <w:tabs>
                <w:tab w:val="clear" w:pos="720"/>
                <w:tab w:val="num" w:pos="228"/>
              </w:tabs>
              <w:spacing w:after="60" w:line="240" w:lineRule="auto"/>
              <w:ind w:left="228" w:hanging="2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C4E64">
              <w:rPr>
                <w:rFonts w:ascii="Arial" w:hAnsi="Arial" w:cs="Arial"/>
                <w:bCs/>
                <w:sz w:val="18"/>
                <w:szCs w:val="18"/>
              </w:rPr>
              <w:t xml:space="preserve">Europejska Agencja Wykonawcza ds. </w:t>
            </w:r>
            <w:proofErr w:type="spellStart"/>
            <w:r w:rsidRPr="00DC62AA">
              <w:rPr>
                <w:rFonts w:ascii="Arial" w:hAnsi="Arial" w:cs="Arial"/>
                <w:bCs/>
                <w:sz w:val="18"/>
                <w:szCs w:val="18"/>
                <w:lang w:val="en-GB"/>
              </w:rPr>
              <w:t>Zdrowia</w:t>
            </w:r>
            <w:proofErr w:type="spellEnd"/>
            <w:r w:rsidRPr="00DC62A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62AA">
              <w:rPr>
                <w:rFonts w:ascii="Arial" w:hAnsi="Arial" w:cs="Arial"/>
                <w:bCs/>
                <w:sz w:val="18"/>
                <w:szCs w:val="18"/>
                <w:lang w:val="en-GB"/>
              </w:rPr>
              <w:t>i</w:t>
            </w:r>
            <w:proofErr w:type="spellEnd"/>
            <w:r w:rsidRPr="00DC62A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62AA">
              <w:rPr>
                <w:rFonts w:ascii="Arial" w:hAnsi="Arial" w:cs="Arial"/>
                <w:bCs/>
                <w:sz w:val="18"/>
                <w:szCs w:val="18"/>
                <w:lang w:val="en-GB"/>
              </w:rPr>
              <w:t>Cyfryzacji</w:t>
            </w:r>
            <w:proofErr w:type="spellEnd"/>
            <w:r w:rsidR="00DC62AA" w:rsidRPr="00DC62A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DC62AA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="00DC62AA" w:rsidRPr="00DC62AA">
              <w:rPr>
                <w:rFonts w:ascii="Arial" w:hAnsi="Arial" w:cs="Arial"/>
                <w:bCs/>
                <w:sz w:val="18"/>
                <w:szCs w:val="18"/>
                <w:lang w:val="en-GB"/>
              </w:rPr>
              <w:t>European Heal</w:t>
            </w:r>
            <w:r w:rsidR="00DC62AA">
              <w:rPr>
                <w:rFonts w:ascii="Arial" w:hAnsi="Arial" w:cs="Arial"/>
                <w:bCs/>
                <w:sz w:val="18"/>
                <w:szCs w:val="18"/>
                <w:lang w:val="en-GB"/>
              </w:rPr>
              <w:t>th and Digital Executive Agency)</w:t>
            </w:r>
          </w:p>
          <w:p w:rsidR="00892CF5" w:rsidRPr="004C4E64" w:rsidRDefault="004C4E64" w:rsidP="003E081E">
            <w:pPr>
              <w:numPr>
                <w:ilvl w:val="0"/>
                <w:numId w:val="22"/>
              </w:numPr>
              <w:tabs>
                <w:tab w:val="clear" w:pos="720"/>
                <w:tab w:val="num" w:pos="228"/>
              </w:tabs>
              <w:spacing w:after="60" w:line="240" w:lineRule="auto"/>
              <w:ind w:left="228" w:hanging="2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 w:rsidRPr="004C4E64">
              <w:rPr>
                <w:rFonts w:ascii="Arial" w:hAnsi="Arial" w:cs="Arial"/>
                <w:bCs/>
                <w:sz w:val="18"/>
                <w:szCs w:val="18"/>
                <w:lang w:val="en-GB"/>
              </w:rPr>
              <w:t>Agencja</w:t>
            </w:r>
            <w:proofErr w:type="spellEnd"/>
            <w:r w:rsidRPr="004C4E6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C4E64">
              <w:rPr>
                <w:rFonts w:ascii="Arial" w:hAnsi="Arial" w:cs="Arial"/>
                <w:bCs/>
                <w:sz w:val="18"/>
                <w:szCs w:val="18"/>
                <w:lang w:val="en-GB"/>
              </w:rPr>
              <w:t>Wykonawczą</w:t>
            </w:r>
            <w:proofErr w:type="spellEnd"/>
            <w:r w:rsidRPr="004C4E6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ds. </w:t>
            </w:r>
            <w:proofErr w:type="spellStart"/>
            <w:r w:rsidRPr="004C4E64">
              <w:rPr>
                <w:rFonts w:ascii="Arial" w:hAnsi="Arial" w:cs="Arial"/>
                <w:bCs/>
                <w:sz w:val="18"/>
                <w:szCs w:val="18"/>
                <w:lang w:val="en-GB"/>
              </w:rPr>
              <w:t>Europejskiej</w:t>
            </w:r>
            <w:proofErr w:type="spellEnd"/>
            <w:r w:rsidRPr="004C4E6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C4E64">
              <w:rPr>
                <w:rFonts w:ascii="Arial" w:hAnsi="Arial" w:cs="Arial"/>
                <w:bCs/>
                <w:sz w:val="18"/>
                <w:szCs w:val="18"/>
                <w:lang w:val="en-GB"/>
              </w:rPr>
              <w:t>Rady</w:t>
            </w:r>
            <w:proofErr w:type="spellEnd"/>
            <w:r w:rsidRPr="004C4E6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C4E64">
              <w:rPr>
                <w:rFonts w:ascii="Arial" w:hAnsi="Arial" w:cs="Arial"/>
                <w:bCs/>
                <w:sz w:val="18"/>
                <w:szCs w:val="18"/>
                <w:lang w:val="en-GB"/>
              </w:rPr>
              <w:t>Innowacji</w:t>
            </w:r>
            <w:proofErr w:type="spellEnd"/>
            <w:r w:rsidRPr="004C4E6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C4E64">
              <w:rPr>
                <w:rFonts w:ascii="Arial" w:hAnsi="Arial" w:cs="Arial"/>
                <w:bCs/>
                <w:sz w:val="18"/>
                <w:szCs w:val="18"/>
                <w:lang w:val="en-GB"/>
              </w:rPr>
              <w:t>i</w:t>
            </w:r>
            <w:proofErr w:type="spellEnd"/>
            <w:r w:rsidRPr="004C4E6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MŚP </w:t>
            </w:r>
            <w:r w:rsidRPr="00DC62AA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Pr="00DC62AA">
              <w:rPr>
                <w:rFonts w:ascii="Arial" w:hAnsi="Arial" w:cs="Arial"/>
                <w:iCs/>
                <w:sz w:val="18"/>
                <w:szCs w:val="18"/>
                <w:lang w:val="en-GB"/>
              </w:rPr>
              <w:t>European Innovation Council and Small and Medium-sized Enterprises Executive Agency</w:t>
            </w:r>
            <w:r w:rsidRPr="00DC62AA">
              <w:rPr>
                <w:rFonts w:ascii="Arial" w:hAnsi="Arial" w:cs="Arial"/>
                <w:bCs/>
                <w:sz w:val="18"/>
                <w:szCs w:val="18"/>
                <w:lang w:val="en-GB"/>
              </w:rPr>
              <w:t> – EISMEA)</w:t>
            </w:r>
          </w:p>
        </w:tc>
      </w:tr>
      <w:tr w:rsidR="00772946" w:rsidTr="002870B8">
        <w:trPr>
          <w:trHeight w:val="465"/>
        </w:trPr>
        <w:tc>
          <w:tcPr>
            <w:tcW w:w="23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Krajowe i regionalne Punkty Kontaktowe</w:t>
            </w:r>
          </w:p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Krajowe Punkty Kontaktowe: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Regionalne Punkty Kontaktowe (jeśli takie są):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Indywidulane osoby kontaktowe:</w:t>
            </w:r>
          </w:p>
        </w:tc>
      </w:tr>
      <w:tr w:rsidR="00772946" w:rsidTr="00856E94">
        <w:trPr>
          <w:trHeight w:val="4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Default="00772946" w:rsidP="002870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72946" w:rsidRDefault="0057216A" w:rsidP="001D2A5A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946" w:rsidTr="00856E94">
        <w:trPr>
          <w:trHeight w:val="272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Strona internetowa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F60A3B" w:rsidRPr="00A158EF" w:rsidRDefault="003E081E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hyperlink r:id="rId5" w:anchor="objectivesofthesinglemarketprogramme" w:history="1">
              <w:r w:rsidR="00F60A3B" w:rsidRPr="00C87DB2">
                <w:rPr>
                  <w:rStyle w:val="Hipercze"/>
                  <w:rFonts w:ascii="Arial" w:hAnsi="Arial" w:cs="Arial"/>
                  <w:sz w:val="18"/>
                  <w:szCs w:val="18"/>
                </w:rPr>
                <w:t>https://ec.europa.eu/info/funding-tenders/find-funding/eu-funding-programmes/single-market-programme/overview_en#objectivesofthesinglemarketprogramme</w:t>
              </w:r>
            </w:hyperlink>
          </w:p>
        </w:tc>
      </w:tr>
      <w:tr w:rsidR="00772946" w:rsidTr="00856E94">
        <w:trPr>
          <w:trHeight w:val="236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:rsidR="00772946" w:rsidRDefault="00772946" w:rsidP="002870B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Nabory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F60A3B" w:rsidRPr="00A158EF" w:rsidRDefault="003E081E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F60A3B" w:rsidRPr="00C87DB2">
                <w:rPr>
                  <w:rStyle w:val="Hipercze"/>
                  <w:rFonts w:ascii="Arial" w:hAnsi="Arial" w:cs="Arial"/>
                  <w:sz w:val="18"/>
                  <w:szCs w:val="18"/>
                </w:rPr>
                <w:t>https://ec.europa.eu/info/funding-tenders/find-funding/eu-funding-programmes/single-market-programme/overview/calls-pr</w:t>
              </w:r>
              <w:r w:rsidR="00F60A3B" w:rsidRPr="00C87DB2">
                <w:rPr>
                  <w:rStyle w:val="Hipercze"/>
                  <w:rFonts w:ascii="Arial" w:hAnsi="Arial" w:cs="Arial"/>
                  <w:sz w:val="18"/>
                  <w:szCs w:val="18"/>
                </w:rPr>
                <w:t>o</w:t>
              </w:r>
              <w:r w:rsidR="00F60A3B" w:rsidRPr="00C87DB2">
                <w:rPr>
                  <w:rStyle w:val="Hipercze"/>
                  <w:rFonts w:ascii="Arial" w:hAnsi="Arial" w:cs="Arial"/>
                  <w:sz w:val="18"/>
                  <w:szCs w:val="18"/>
                </w:rPr>
                <w:t>posals-0_en</w:t>
              </w:r>
            </w:hyperlink>
            <w:r w:rsidR="00F60A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72946" w:rsidTr="002870B8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0A3B" w:rsidRPr="00F60A3B" w:rsidRDefault="00F60A3B" w:rsidP="003E081E">
            <w:pPr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60A3B">
              <w:rPr>
                <w:rFonts w:ascii="Arial" w:hAnsi="Arial" w:cs="Arial"/>
                <w:bCs/>
                <w:sz w:val="18"/>
                <w:szCs w:val="18"/>
              </w:rPr>
              <w:t>Rozporządzenie Parlamentu Europejskiego I Rady (UE) 2021/690 z dnia 28 kwietnia 2021 r. ustanawiające program na rzecz rynku wewnętrznego, konkurencyjności przedsiębiorstw, w tym małych i średnich przedsiębiorstw, dziedziny roślin, zwierząt, żywności i paszy, oraz statystyk europejskich (Program na rzecz jednolitego rynku) oraz uchylające rozporządzenia Parlamentu Europejskiego i Rady (UE) nr 99/2013, (UE) nr 1287/2013, (UE) nr 254/2014 i (UE) nr 652/2014</w:t>
            </w:r>
          </w:p>
          <w:p w:rsidR="00F60A3B" w:rsidRDefault="003E081E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F60A3B" w:rsidRPr="00C87DB2">
                <w:rPr>
                  <w:rStyle w:val="Hipercze"/>
                  <w:rFonts w:ascii="Arial" w:hAnsi="Arial" w:cs="Arial"/>
                  <w:sz w:val="18"/>
                  <w:szCs w:val="18"/>
                </w:rPr>
                <w:t>http</w:t>
              </w:r>
              <w:bookmarkStart w:id="2" w:name="_GoBack"/>
              <w:bookmarkEnd w:id="2"/>
              <w:r w:rsidR="00F60A3B" w:rsidRPr="00C87DB2">
                <w:rPr>
                  <w:rStyle w:val="Hipercze"/>
                  <w:rFonts w:ascii="Arial" w:hAnsi="Arial" w:cs="Arial"/>
                  <w:sz w:val="18"/>
                  <w:szCs w:val="18"/>
                </w:rPr>
                <w:t>s://eur-lex.europa.eu/legal-content/PL/TXT/PDF/?uri=OJ:L:2021:153:FULL&amp;from=EN</w:t>
              </w:r>
            </w:hyperlink>
          </w:p>
        </w:tc>
      </w:tr>
    </w:tbl>
    <w:p w:rsidR="00652939" w:rsidRPr="00652939" w:rsidRDefault="00652939" w:rsidP="004D28B9">
      <w:pPr>
        <w:rPr>
          <w:rFonts w:ascii="Arial" w:hAnsi="Arial" w:cs="Arial"/>
        </w:rPr>
      </w:pPr>
    </w:p>
    <w:sectPr w:rsidR="00652939" w:rsidRPr="0065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267790"/>
    <w:multiLevelType w:val="hybridMultilevel"/>
    <w:tmpl w:val="11E602E2"/>
    <w:lvl w:ilvl="0" w:tplc="FFFFFFFF">
      <w:start w:val="1"/>
      <w:numFmt w:val="decimal"/>
      <w:lvlText w:val="%1.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12E816"/>
    <w:multiLevelType w:val="hybridMultilevel"/>
    <w:tmpl w:val="8E442F4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24EB21"/>
    <w:multiLevelType w:val="hybridMultilevel"/>
    <w:tmpl w:val="4684B0C8"/>
    <w:lvl w:ilvl="0" w:tplc="FFFFFFFF">
      <w:start w:val="1"/>
      <w:numFmt w:val="ideographDigital"/>
      <w:lvlText w:val=""/>
      <w:lvlJc w:val="left"/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372E7B"/>
    <w:multiLevelType w:val="hybridMultilevel"/>
    <w:tmpl w:val="5E5874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45B1D7A"/>
    <w:multiLevelType w:val="hybridMultilevel"/>
    <w:tmpl w:val="2C50E2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4142C8"/>
    <w:multiLevelType w:val="hybridMultilevel"/>
    <w:tmpl w:val="6D2470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E14E636"/>
    <w:multiLevelType w:val="hybridMultilevel"/>
    <w:tmpl w:val="F8844F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ECF238A"/>
    <w:multiLevelType w:val="hybridMultilevel"/>
    <w:tmpl w:val="58EA5B6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7674210"/>
    <w:multiLevelType w:val="hybridMultilevel"/>
    <w:tmpl w:val="3DD7568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D67D639"/>
    <w:multiLevelType w:val="hybridMultilevel"/>
    <w:tmpl w:val="9B7B4D4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AF362C0"/>
    <w:multiLevelType w:val="hybridMultilevel"/>
    <w:tmpl w:val="0B56E9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3B4FCB"/>
    <w:multiLevelType w:val="hybridMultilevel"/>
    <w:tmpl w:val="D8027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F2D35"/>
    <w:multiLevelType w:val="hybridMultilevel"/>
    <w:tmpl w:val="F88CD096"/>
    <w:lvl w:ilvl="0" w:tplc="C6F2E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6941B"/>
    <w:multiLevelType w:val="hybridMultilevel"/>
    <w:tmpl w:val="5E77AF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5976EC6"/>
    <w:multiLevelType w:val="hybridMultilevel"/>
    <w:tmpl w:val="85CA2226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70A16"/>
    <w:multiLevelType w:val="hybridMultilevel"/>
    <w:tmpl w:val="5DEED35E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27532"/>
    <w:multiLevelType w:val="hybridMultilevel"/>
    <w:tmpl w:val="FFA87C60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A47FCF"/>
    <w:multiLevelType w:val="hybridMultilevel"/>
    <w:tmpl w:val="F2E27D76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AD2361"/>
    <w:multiLevelType w:val="hybridMultilevel"/>
    <w:tmpl w:val="EBF0D75C"/>
    <w:lvl w:ilvl="0" w:tplc="43769A14">
      <w:start w:val="1"/>
      <w:numFmt w:val="bullet"/>
      <w:lvlText w:val=""/>
      <w:lvlJc w:val="left"/>
      <w:pPr>
        <w:ind w:left="10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9" w15:restartNumberingAfterBreak="0">
    <w:nsid w:val="20AA48A1"/>
    <w:multiLevelType w:val="hybridMultilevel"/>
    <w:tmpl w:val="33523E14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70A64"/>
    <w:multiLevelType w:val="hybridMultilevel"/>
    <w:tmpl w:val="EE969304"/>
    <w:lvl w:ilvl="0" w:tplc="0415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1" w15:restartNumberingAfterBreak="0">
    <w:nsid w:val="28EDAE77"/>
    <w:multiLevelType w:val="hybridMultilevel"/>
    <w:tmpl w:val="F1D40B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A6228F3"/>
    <w:multiLevelType w:val="hybridMultilevel"/>
    <w:tmpl w:val="0D4674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D81CA6F"/>
    <w:multiLevelType w:val="hybridMultilevel"/>
    <w:tmpl w:val="0D7C92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7C12A53"/>
    <w:multiLevelType w:val="multilevel"/>
    <w:tmpl w:val="E780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1A0D3C"/>
    <w:multiLevelType w:val="hybridMultilevel"/>
    <w:tmpl w:val="B2BEA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04A81"/>
    <w:multiLevelType w:val="hybridMultilevel"/>
    <w:tmpl w:val="9678D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410C7"/>
    <w:multiLevelType w:val="hybridMultilevel"/>
    <w:tmpl w:val="5240FA2A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2739A"/>
    <w:multiLevelType w:val="hybridMultilevel"/>
    <w:tmpl w:val="DE482D36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24EFD"/>
    <w:multiLevelType w:val="hybridMultilevel"/>
    <w:tmpl w:val="06398E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53079B9"/>
    <w:multiLevelType w:val="hybridMultilevel"/>
    <w:tmpl w:val="C5108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E0D51"/>
    <w:multiLevelType w:val="hybridMultilevel"/>
    <w:tmpl w:val="4106F7B6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63803"/>
    <w:multiLevelType w:val="hybridMultilevel"/>
    <w:tmpl w:val="1D303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A30FB"/>
    <w:multiLevelType w:val="multilevel"/>
    <w:tmpl w:val="91E4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8E122B"/>
    <w:multiLevelType w:val="hybridMultilevel"/>
    <w:tmpl w:val="FE9A0F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BB286C"/>
    <w:multiLevelType w:val="hybridMultilevel"/>
    <w:tmpl w:val="C51EC884"/>
    <w:lvl w:ilvl="0" w:tplc="FD3C7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05842"/>
    <w:multiLevelType w:val="hybridMultilevel"/>
    <w:tmpl w:val="3EF6C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95B9F"/>
    <w:multiLevelType w:val="hybridMultilevel"/>
    <w:tmpl w:val="C51EC884"/>
    <w:lvl w:ilvl="0" w:tplc="FD3C7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E0452"/>
    <w:multiLevelType w:val="hybridMultilevel"/>
    <w:tmpl w:val="C51EC884"/>
    <w:lvl w:ilvl="0" w:tplc="FD3C7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203F5"/>
    <w:multiLevelType w:val="hybridMultilevel"/>
    <w:tmpl w:val="2482958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ideographDigital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0D44EAC"/>
    <w:multiLevelType w:val="hybridMultilevel"/>
    <w:tmpl w:val="77068F8C"/>
    <w:lvl w:ilvl="0" w:tplc="0415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1" w15:restartNumberingAfterBreak="0">
    <w:nsid w:val="71701C1D"/>
    <w:multiLevelType w:val="hybridMultilevel"/>
    <w:tmpl w:val="72C2F5BA"/>
    <w:lvl w:ilvl="0" w:tplc="C6F2E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7126B"/>
    <w:multiLevelType w:val="hybridMultilevel"/>
    <w:tmpl w:val="592404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96E193E"/>
    <w:multiLevelType w:val="hybridMultilevel"/>
    <w:tmpl w:val="8EA181F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A5E3E63"/>
    <w:multiLevelType w:val="hybridMultilevel"/>
    <w:tmpl w:val="C51EC884"/>
    <w:lvl w:ilvl="0" w:tplc="FD3C7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5252E"/>
    <w:multiLevelType w:val="hybridMultilevel"/>
    <w:tmpl w:val="411C5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24DE0"/>
    <w:multiLevelType w:val="hybridMultilevel"/>
    <w:tmpl w:val="C5388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1"/>
  </w:num>
  <w:num w:numId="6">
    <w:abstractNumId w:val="15"/>
  </w:num>
  <w:num w:numId="7">
    <w:abstractNumId w:val="28"/>
  </w:num>
  <w:num w:numId="8">
    <w:abstractNumId w:val="27"/>
  </w:num>
  <w:num w:numId="9">
    <w:abstractNumId w:val="17"/>
  </w:num>
  <w:num w:numId="10">
    <w:abstractNumId w:val="18"/>
  </w:num>
  <w:num w:numId="11">
    <w:abstractNumId w:val="26"/>
  </w:num>
  <w:num w:numId="12">
    <w:abstractNumId w:val="45"/>
  </w:num>
  <w:num w:numId="13">
    <w:abstractNumId w:val="11"/>
  </w:num>
  <w:num w:numId="14">
    <w:abstractNumId w:val="41"/>
  </w:num>
  <w:num w:numId="15">
    <w:abstractNumId w:val="12"/>
  </w:num>
  <w:num w:numId="16">
    <w:abstractNumId w:val="33"/>
  </w:num>
  <w:num w:numId="17">
    <w:abstractNumId w:val="36"/>
  </w:num>
  <w:num w:numId="18">
    <w:abstractNumId w:val="1"/>
  </w:num>
  <w:num w:numId="19">
    <w:abstractNumId w:val="43"/>
  </w:num>
  <w:num w:numId="20">
    <w:abstractNumId w:val="6"/>
  </w:num>
  <w:num w:numId="21">
    <w:abstractNumId w:val="10"/>
  </w:num>
  <w:num w:numId="22">
    <w:abstractNumId w:val="24"/>
  </w:num>
  <w:num w:numId="23">
    <w:abstractNumId w:val="8"/>
  </w:num>
  <w:num w:numId="24">
    <w:abstractNumId w:val="22"/>
  </w:num>
  <w:num w:numId="25">
    <w:abstractNumId w:val="39"/>
  </w:num>
  <w:num w:numId="26">
    <w:abstractNumId w:val="0"/>
  </w:num>
  <w:num w:numId="27">
    <w:abstractNumId w:val="29"/>
  </w:num>
  <w:num w:numId="28">
    <w:abstractNumId w:val="9"/>
  </w:num>
  <w:num w:numId="29">
    <w:abstractNumId w:val="4"/>
  </w:num>
  <w:num w:numId="30">
    <w:abstractNumId w:val="23"/>
  </w:num>
  <w:num w:numId="31">
    <w:abstractNumId w:val="21"/>
  </w:num>
  <w:num w:numId="32">
    <w:abstractNumId w:val="3"/>
  </w:num>
  <w:num w:numId="33">
    <w:abstractNumId w:val="25"/>
  </w:num>
  <w:num w:numId="34">
    <w:abstractNumId w:val="38"/>
  </w:num>
  <w:num w:numId="35">
    <w:abstractNumId w:val="40"/>
  </w:num>
  <w:num w:numId="36">
    <w:abstractNumId w:val="44"/>
  </w:num>
  <w:num w:numId="37">
    <w:abstractNumId w:val="35"/>
  </w:num>
  <w:num w:numId="38">
    <w:abstractNumId w:val="37"/>
  </w:num>
  <w:num w:numId="39">
    <w:abstractNumId w:val="7"/>
  </w:num>
  <w:num w:numId="40">
    <w:abstractNumId w:val="5"/>
  </w:num>
  <w:num w:numId="41">
    <w:abstractNumId w:val="13"/>
  </w:num>
  <w:num w:numId="42">
    <w:abstractNumId w:val="42"/>
  </w:num>
  <w:num w:numId="43">
    <w:abstractNumId w:val="20"/>
  </w:num>
  <w:num w:numId="44">
    <w:abstractNumId w:val="46"/>
  </w:num>
  <w:num w:numId="45">
    <w:abstractNumId w:val="32"/>
  </w:num>
  <w:num w:numId="46">
    <w:abstractNumId w:val="34"/>
  </w:num>
  <w:num w:numId="47">
    <w:abstractNumId w:val="2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1C"/>
    <w:rsid w:val="000065D5"/>
    <w:rsid w:val="000120FE"/>
    <w:rsid w:val="00025A42"/>
    <w:rsid w:val="00082033"/>
    <w:rsid w:val="000865BE"/>
    <w:rsid w:val="000902F3"/>
    <w:rsid w:val="00100028"/>
    <w:rsid w:val="001270B0"/>
    <w:rsid w:val="00143320"/>
    <w:rsid w:val="00143F9C"/>
    <w:rsid w:val="001A7240"/>
    <w:rsid w:val="001D04D6"/>
    <w:rsid w:val="001D2A5A"/>
    <w:rsid w:val="001F247C"/>
    <w:rsid w:val="002329D5"/>
    <w:rsid w:val="00272705"/>
    <w:rsid w:val="0028443D"/>
    <w:rsid w:val="002870B8"/>
    <w:rsid w:val="002B6818"/>
    <w:rsid w:val="002E54FF"/>
    <w:rsid w:val="003162BD"/>
    <w:rsid w:val="003213AD"/>
    <w:rsid w:val="00333636"/>
    <w:rsid w:val="003527E2"/>
    <w:rsid w:val="00394C62"/>
    <w:rsid w:val="003B3CD4"/>
    <w:rsid w:val="003D1121"/>
    <w:rsid w:val="003E081E"/>
    <w:rsid w:val="004570DC"/>
    <w:rsid w:val="004B5155"/>
    <w:rsid w:val="004C4E64"/>
    <w:rsid w:val="004C6938"/>
    <w:rsid w:val="004D28B9"/>
    <w:rsid w:val="004D2D48"/>
    <w:rsid w:val="004D6514"/>
    <w:rsid w:val="00500482"/>
    <w:rsid w:val="005601AB"/>
    <w:rsid w:val="0057216A"/>
    <w:rsid w:val="005939B1"/>
    <w:rsid w:val="005A5087"/>
    <w:rsid w:val="005B4B7C"/>
    <w:rsid w:val="005F3352"/>
    <w:rsid w:val="005F5B65"/>
    <w:rsid w:val="00610E38"/>
    <w:rsid w:val="00616450"/>
    <w:rsid w:val="00644BF5"/>
    <w:rsid w:val="00652939"/>
    <w:rsid w:val="00693628"/>
    <w:rsid w:val="007052E5"/>
    <w:rsid w:val="007244E6"/>
    <w:rsid w:val="007323BD"/>
    <w:rsid w:val="00732661"/>
    <w:rsid w:val="00735867"/>
    <w:rsid w:val="00752771"/>
    <w:rsid w:val="0075661F"/>
    <w:rsid w:val="0075786D"/>
    <w:rsid w:val="00772946"/>
    <w:rsid w:val="00772C38"/>
    <w:rsid w:val="007E2558"/>
    <w:rsid w:val="007E7518"/>
    <w:rsid w:val="00856E94"/>
    <w:rsid w:val="008614F9"/>
    <w:rsid w:val="00892CF5"/>
    <w:rsid w:val="008A23E6"/>
    <w:rsid w:val="00911173"/>
    <w:rsid w:val="009168A0"/>
    <w:rsid w:val="00957865"/>
    <w:rsid w:val="00975DA7"/>
    <w:rsid w:val="009C09DF"/>
    <w:rsid w:val="009F6D53"/>
    <w:rsid w:val="00A158EF"/>
    <w:rsid w:val="00A518BC"/>
    <w:rsid w:val="00AC6F5A"/>
    <w:rsid w:val="00B1155C"/>
    <w:rsid w:val="00B52EA1"/>
    <w:rsid w:val="00B67089"/>
    <w:rsid w:val="00BA5E13"/>
    <w:rsid w:val="00BE2DC3"/>
    <w:rsid w:val="00BE792D"/>
    <w:rsid w:val="00C33F32"/>
    <w:rsid w:val="00C71BA6"/>
    <w:rsid w:val="00C741A5"/>
    <w:rsid w:val="00D06818"/>
    <w:rsid w:val="00D35A58"/>
    <w:rsid w:val="00D51941"/>
    <w:rsid w:val="00DA202F"/>
    <w:rsid w:val="00DC62AA"/>
    <w:rsid w:val="00DD0CF8"/>
    <w:rsid w:val="00DE4CAD"/>
    <w:rsid w:val="00E04E30"/>
    <w:rsid w:val="00E17DBC"/>
    <w:rsid w:val="00EC2A3C"/>
    <w:rsid w:val="00F31A2A"/>
    <w:rsid w:val="00F5381C"/>
    <w:rsid w:val="00F60A3B"/>
    <w:rsid w:val="00F91C1B"/>
    <w:rsid w:val="00F97ABE"/>
    <w:rsid w:val="00FA3C85"/>
    <w:rsid w:val="00FA6BD9"/>
    <w:rsid w:val="00FB25BD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85B1"/>
  <w15:chartTrackingRefBased/>
  <w15:docId w15:val="{72CDB00D-25A6-4BC6-8A40-F92741F0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94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C4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4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29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29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GRAMZnak">
    <w:name w:val="PROGRAM Znak"/>
    <w:basedOn w:val="Domylnaczcionkaakapitu"/>
    <w:link w:val="PROGRAM"/>
    <w:locked/>
    <w:rsid w:val="00772946"/>
    <w:rPr>
      <w:rFonts w:ascii="Arial" w:hAnsi="Arial" w:cs="Arial"/>
      <w:b/>
      <w:sz w:val="18"/>
      <w:szCs w:val="18"/>
    </w:rPr>
  </w:style>
  <w:style w:type="paragraph" w:customStyle="1" w:styleId="PROGRAM">
    <w:name w:val="PROGRAM"/>
    <w:basedOn w:val="Normalny"/>
    <w:link w:val="PROGRAMZnak"/>
    <w:qFormat/>
    <w:rsid w:val="00772946"/>
    <w:pPr>
      <w:spacing w:after="60" w:line="360" w:lineRule="auto"/>
      <w:outlineLvl w:val="0"/>
    </w:pPr>
    <w:rPr>
      <w:rFonts w:ascii="Arial" w:hAnsi="Arial" w:cs="Arial"/>
      <w:b/>
      <w:sz w:val="18"/>
      <w:szCs w:val="18"/>
    </w:rPr>
  </w:style>
  <w:style w:type="character" w:customStyle="1" w:styleId="rpc61">
    <w:name w:val="_rpc_61"/>
    <w:basedOn w:val="Domylnaczcionkaakapitu"/>
    <w:rsid w:val="00772946"/>
  </w:style>
  <w:style w:type="character" w:styleId="UyteHipercze">
    <w:name w:val="FollowedHyperlink"/>
    <w:basedOn w:val="Domylnaczcionkaakapitu"/>
    <w:uiPriority w:val="99"/>
    <w:semiHidden/>
    <w:unhideWhenUsed/>
    <w:rsid w:val="000902F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A5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C4E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4E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TXT/PDF/?uri=OJ:L:2021:153:FULL&amp;from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find-funding/eu-funding-programmes/single-market-programme/overview/calls-proposals-0_en" TargetMode="External"/><Relationship Id="rId5" Type="http://schemas.openxmlformats.org/officeDocument/2006/relationships/hyperlink" Target="https://ec.europa.eu/info/funding-tenders/find-funding/eu-funding-programmes/single-market-programme/overview_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6</Pages>
  <Words>2525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Kozioł Natalia</dc:creator>
  <cp:keywords/>
  <dc:description/>
  <cp:lastModifiedBy>Małgorzata Jankiewicz</cp:lastModifiedBy>
  <cp:revision>53</cp:revision>
  <cp:lastPrinted>2021-07-12T08:16:00Z</cp:lastPrinted>
  <dcterms:created xsi:type="dcterms:W3CDTF">2020-06-24T13:06:00Z</dcterms:created>
  <dcterms:modified xsi:type="dcterms:W3CDTF">2021-07-29T12:13:00Z</dcterms:modified>
</cp:coreProperties>
</file>