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3221"/>
        <w:gridCol w:w="610"/>
        <w:gridCol w:w="1432"/>
        <w:gridCol w:w="2398"/>
      </w:tblGrid>
      <w:tr w:rsidR="00772946" w:rsidTr="002870B8">
        <w:trPr>
          <w:trHeight w:val="428"/>
        </w:trPr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programu</w:t>
            </w:r>
          </w:p>
        </w:tc>
        <w:tc>
          <w:tcPr>
            <w:tcW w:w="76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946" w:rsidRDefault="00772946" w:rsidP="002870B8">
            <w:pPr>
              <w:pStyle w:val="PROGRAM"/>
              <w:rPr>
                <w:lang w:val="en-US"/>
              </w:rPr>
            </w:pPr>
            <w:r>
              <w:rPr>
                <w:lang w:val="en-US"/>
              </w:rPr>
              <w:t>Cyfrowa Europa</w:t>
            </w:r>
          </w:p>
        </w:tc>
      </w:tr>
      <w:tr w:rsidR="00772946" w:rsidTr="002870B8">
        <w:trPr>
          <w:trHeight w:val="345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Obszar tematyczny /właściwy RPS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946" w:rsidRDefault="009C09DF" w:rsidP="00B81DF8">
            <w:pPr>
              <w:pStyle w:val="Akapitzlist"/>
              <w:numPr>
                <w:ilvl w:val="0"/>
                <w:numId w:val="17"/>
              </w:numPr>
              <w:spacing w:after="60" w:line="360" w:lineRule="auto"/>
              <w:ind w:left="228" w:hanging="228"/>
              <w:rPr>
                <w:rFonts w:ascii="Arial" w:hAnsi="Arial" w:cs="Arial"/>
                <w:sz w:val="18"/>
                <w:szCs w:val="18"/>
              </w:rPr>
            </w:pPr>
            <w:bookmarkStart w:id="0" w:name="_Toc62141869"/>
            <w:bookmarkStart w:id="1" w:name="_Toc62154682"/>
            <w:r w:rsidRPr="00B81DF8">
              <w:rPr>
                <w:rFonts w:ascii="Arial" w:hAnsi="Arial" w:cs="Arial"/>
                <w:sz w:val="18"/>
                <w:szCs w:val="18"/>
              </w:rPr>
              <w:t xml:space="preserve">Regionalny Program Strategiczny w zakresie gospodarki, rynku pracy, oferty turystycznej </w:t>
            </w:r>
            <w:r w:rsidRPr="00B81DF8">
              <w:rPr>
                <w:rFonts w:ascii="Arial" w:hAnsi="Arial" w:cs="Arial"/>
                <w:sz w:val="18"/>
                <w:szCs w:val="18"/>
              </w:rPr>
              <w:br/>
              <w:t>i czasu wolnego</w:t>
            </w:r>
            <w:bookmarkEnd w:id="0"/>
            <w:bookmarkEnd w:id="1"/>
          </w:p>
          <w:p w:rsidR="00B81DF8" w:rsidRPr="00B81DF8" w:rsidRDefault="00B81DF8" w:rsidP="00B81DF8">
            <w:pPr>
              <w:pStyle w:val="Akapitzlist"/>
              <w:numPr>
                <w:ilvl w:val="0"/>
                <w:numId w:val="17"/>
              </w:numPr>
              <w:spacing w:after="60" w:line="360" w:lineRule="auto"/>
              <w:ind w:left="228" w:hanging="228"/>
              <w:rPr>
                <w:rFonts w:ascii="Arial" w:hAnsi="Arial" w:cs="Arial"/>
                <w:sz w:val="18"/>
                <w:szCs w:val="18"/>
              </w:rPr>
            </w:pPr>
            <w:r w:rsidRPr="00B81DF8">
              <w:rPr>
                <w:rFonts w:ascii="Arial" w:hAnsi="Arial" w:cs="Arial"/>
                <w:sz w:val="18"/>
                <w:szCs w:val="18"/>
              </w:rPr>
              <w:t>Regionalny</w:t>
            </w:r>
            <w:r w:rsidRPr="00B81DF8">
              <w:rPr>
                <w:rFonts w:ascii="Arial" w:hAnsi="Arial" w:cs="Arial"/>
                <w:bCs/>
                <w:sz w:val="18"/>
                <w:szCs w:val="18"/>
              </w:rPr>
              <w:t xml:space="preserve"> Program Strategiczny w zakresie mobilności i komunikacji</w:t>
            </w:r>
          </w:p>
        </w:tc>
      </w:tr>
      <w:tr w:rsidR="00772946" w:rsidTr="002870B8"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Syntetyczny opis celów Programu/ priorytety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D04D6" w:rsidRDefault="001D04D6" w:rsidP="00644BF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 xml:space="preserve">Ogólnymi celami Programu są wspieranie i przyspieszanie procesu cyfrowej transformacji europejskiej gospodarki, europejskiego przemysłu i społeczeństwa, zapewnienie płynących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04D6">
              <w:rPr>
                <w:rFonts w:ascii="Arial" w:hAnsi="Arial" w:cs="Arial"/>
                <w:sz w:val="18"/>
                <w:szCs w:val="18"/>
              </w:rPr>
              <w:t xml:space="preserve">z niej korzyści obywatelom, organom administracji publicznej i przedsiębiorstwom w całej Unii, jak również zwiększenie konkurencyjności Europy w światowej gospodarce cyfrowej,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04D6">
              <w:rPr>
                <w:rFonts w:ascii="Arial" w:hAnsi="Arial" w:cs="Arial"/>
                <w:sz w:val="18"/>
                <w:szCs w:val="18"/>
              </w:rPr>
              <w:t xml:space="preserve">a jednocześnie zmniejszanie przepaści cyfrowej w całej Unii i wzmacnianie strategicznej autonomii Unii, poprzez całościowe, międzysektorowe i transgraniczne wsparcie oraz zwiększenie wkładu Unii. Program, w stosownych przypadkach jest wdrażany w ścisłej koordynacji z innymi unijnymi programami finansowania i dąży: </w:t>
            </w:r>
          </w:p>
          <w:p w:rsidR="001D04D6" w:rsidRDefault="001D04D6" w:rsidP="00644BF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 xml:space="preserve">a) do wzmocnienia zdolności Europy w kluczowych obszarach technologii cyfrowych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04D6">
              <w:rPr>
                <w:rFonts w:ascii="Arial" w:hAnsi="Arial" w:cs="Arial"/>
                <w:sz w:val="18"/>
                <w:szCs w:val="18"/>
              </w:rPr>
              <w:t xml:space="preserve">i propagowania tych zdolności poprzez wdrożenie ich na wielką skalę; </w:t>
            </w:r>
          </w:p>
          <w:p w:rsidR="001D04D6" w:rsidRDefault="001D04D6" w:rsidP="00644BF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 xml:space="preserve">b) w sektorze prywatnym oraz w obszarach interesu publicznego do zapewnienia szerszego upowszechniania i większej absorpcji kluczowych technologii cyfrowych Europy, wspierając transformację cyfrową i dostęp do technologii cyfrowych. </w:t>
            </w:r>
          </w:p>
          <w:p w:rsidR="001D04D6" w:rsidRDefault="001D04D6" w:rsidP="00644BF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 xml:space="preserve">Program ma pięć wzajemnie powiązanych celów szczegółowych: </w:t>
            </w:r>
          </w:p>
          <w:p w:rsidR="001D04D6" w:rsidRDefault="001D04D6" w:rsidP="00644BF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 xml:space="preserve">a) cel szczegółowy nr 1 – Obliczenia wielkiej skali; </w:t>
            </w:r>
          </w:p>
          <w:p w:rsidR="001D04D6" w:rsidRDefault="001D04D6" w:rsidP="00644BF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 xml:space="preserve">b) cel szczegółowy nr 2 – Sztuczna inteligencja; </w:t>
            </w:r>
          </w:p>
          <w:p w:rsidR="001D04D6" w:rsidRDefault="001D04D6" w:rsidP="00644BF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 xml:space="preserve">c) cel szczegółowy nr 3 – </w:t>
            </w:r>
            <w:proofErr w:type="spellStart"/>
            <w:r w:rsidRPr="001D04D6">
              <w:rPr>
                <w:rFonts w:ascii="Arial" w:hAnsi="Arial" w:cs="Arial"/>
                <w:sz w:val="18"/>
                <w:szCs w:val="18"/>
              </w:rPr>
              <w:t>Cyberbezpieczeństwo</w:t>
            </w:r>
            <w:proofErr w:type="spellEnd"/>
            <w:r w:rsidRPr="001D04D6">
              <w:rPr>
                <w:rFonts w:ascii="Arial" w:hAnsi="Arial" w:cs="Arial"/>
                <w:sz w:val="18"/>
                <w:szCs w:val="18"/>
              </w:rPr>
              <w:t xml:space="preserve"> i zaufanie; </w:t>
            </w:r>
          </w:p>
          <w:p w:rsidR="001D04D6" w:rsidRDefault="001D04D6" w:rsidP="00644BF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 xml:space="preserve">d) cel szczegółowy nr 4 – Zaawansowane umiejętności cyfrowe; </w:t>
            </w:r>
          </w:p>
          <w:p w:rsidR="00975DA7" w:rsidRPr="001D04D6" w:rsidRDefault="001D04D6" w:rsidP="00644BF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 xml:space="preserve">e) cel szczegółowy nr 5 – Wdrażanie i optymalne wykorzystanie zdolności cyfrowych </w:t>
            </w:r>
            <w:r w:rsidR="004B5155">
              <w:rPr>
                <w:rFonts w:ascii="Arial" w:hAnsi="Arial" w:cs="Arial"/>
                <w:sz w:val="18"/>
                <w:szCs w:val="18"/>
              </w:rPr>
              <w:br/>
            </w:r>
            <w:r w:rsidRPr="001D04D6">
              <w:rPr>
                <w:rFonts w:ascii="Arial" w:hAnsi="Arial" w:cs="Arial"/>
                <w:sz w:val="18"/>
                <w:szCs w:val="18"/>
              </w:rPr>
              <w:t>i interoperacyjność</w:t>
            </w:r>
          </w:p>
        </w:tc>
      </w:tr>
      <w:tr w:rsidR="00772946" w:rsidTr="002870B8">
        <w:trPr>
          <w:trHeight w:val="91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finansowania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2946" w:rsidRPr="001D04D6" w:rsidRDefault="007E7518" w:rsidP="00A158EF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>2021-2027</w:t>
            </w:r>
          </w:p>
        </w:tc>
      </w:tr>
      <w:tr w:rsidR="00772946" w:rsidTr="002870B8">
        <w:trPr>
          <w:trHeight w:val="278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Budżet programu, w tym: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772946" w:rsidRPr="001D04D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04D6">
              <w:rPr>
                <w:rFonts w:ascii="Arial" w:hAnsi="Arial" w:cs="Arial"/>
                <w:b/>
                <w:sz w:val="18"/>
                <w:szCs w:val="18"/>
              </w:rPr>
              <w:t>Budżet ogółem</w:t>
            </w:r>
          </w:p>
        </w:tc>
        <w:tc>
          <w:tcPr>
            <w:tcW w:w="38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72946" w:rsidRPr="001D04D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04D6">
              <w:rPr>
                <w:rFonts w:ascii="Arial" w:hAnsi="Arial" w:cs="Arial"/>
                <w:b/>
                <w:sz w:val="18"/>
                <w:szCs w:val="18"/>
              </w:rPr>
              <w:t xml:space="preserve">Dostępne środki </w:t>
            </w:r>
            <w:r w:rsidRPr="001D04D6">
              <w:rPr>
                <w:rFonts w:ascii="Arial" w:hAnsi="Arial" w:cs="Arial"/>
                <w:sz w:val="18"/>
                <w:szCs w:val="18"/>
              </w:rPr>
              <w:t>(wg stanu na dzień...)</w:t>
            </w:r>
          </w:p>
        </w:tc>
      </w:tr>
      <w:tr w:rsidR="00772946" w:rsidTr="002870B8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946" w:rsidRDefault="00772946" w:rsidP="002870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946" w:rsidRPr="001D04D6" w:rsidRDefault="001D04D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>7 588 000 000 EUR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946" w:rsidRPr="001D04D6" w:rsidRDefault="0077294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946" w:rsidTr="002870B8">
        <w:trPr>
          <w:trHeight w:val="322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E7518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szczegółowy nr 1 „Obliczenia wielkiej skali”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946" w:rsidRPr="001D04D6" w:rsidRDefault="001D04D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>2 226 914 000 EUR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946" w:rsidRPr="001D04D6" w:rsidRDefault="0077294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518" w:rsidTr="002870B8">
        <w:trPr>
          <w:trHeight w:val="322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E7518" w:rsidRDefault="007E7518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7518">
              <w:rPr>
                <w:rFonts w:ascii="Arial" w:hAnsi="Arial" w:cs="Arial"/>
                <w:b/>
                <w:sz w:val="18"/>
                <w:szCs w:val="18"/>
              </w:rPr>
              <w:t>Cel szczegółowy nr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„Sztuczna inteligencja”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18" w:rsidRPr="001D04D6" w:rsidRDefault="001D04D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>2 061 956 000 EUR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518" w:rsidRPr="001D04D6" w:rsidRDefault="007E7518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518" w:rsidTr="002870B8">
        <w:trPr>
          <w:trHeight w:val="322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E7518" w:rsidRDefault="007E7518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7518">
              <w:rPr>
                <w:rFonts w:ascii="Arial" w:hAnsi="Arial" w:cs="Arial"/>
                <w:b/>
                <w:sz w:val="18"/>
                <w:szCs w:val="18"/>
              </w:rPr>
              <w:t>Cel szczegółowy nr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 „Cyberbezpieczeństwo i zaufanie”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18" w:rsidRPr="001D04D6" w:rsidRDefault="001D04D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>1 649 566 000 EUR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518" w:rsidRPr="001D04D6" w:rsidRDefault="007E7518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518" w:rsidTr="002870B8">
        <w:trPr>
          <w:trHeight w:val="322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E7518" w:rsidRDefault="007E7518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7518">
              <w:rPr>
                <w:rFonts w:ascii="Arial" w:hAnsi="Arial" w:cs="Arial"/>
                <w:b/>
                <w:sz w:val="18"/>
                <w:szCs w:val="18"/>
              </w:rPr>
              <w:t>Cel szczegółowy nr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 „Zaawansowane umiejętności cyfrowe”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518" w:rsidRPr="001D04D6" w:rsidRDefault="001D04D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>577 347 000 EUR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518" w:rsidRPr="001D04D6" w:rsidRDefault="007E7518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946" w:rsidTr="002870B8">
        <w:trPr>
          <w:trHeight w:val="322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E7518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 szczegółowy nr 5 „Wdrażanie, optymalne wykorzystanie </w:t>
            </w:r>
            <w:r w:rsidR="004B5155">
              <w:rPr>
                <w:rFonts w:ascii="Arial" w:hAnsi="Arial" w:cs="Arial"/>
                <w:b/>
                <w:sz w:val="18"/>
                <w:szCs w:val="18"/>
              </w:rPr>
              <w:t>zdolności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cyfrowych i interoperacyjność”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946" w:rsidRPr="001D04D6" w:rsidRDefault="001D04D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>1 072 217 000 EUR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946" w:rsidRPr="001D04D6" w:rsidRDefault="0077294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946" w:rsidTr="002870B8">
        <w:trPr>
          <w:trHeight w:val="322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Koperta dla Polski</w:t>
            </w:r>
          </w:p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(jeżeli dotyczy)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772946" w:rsidRPr="009C09DF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09DF">
              <w:rPr>
                <w:rFonts w:ascii="Arial" w:hAnsi="Arial" w:cs="Arial"/>
                <w:b/>
                <w:sz w:val="18"/>
                <w:szCs w:val="18"/>
              </w:rPr>
              <w:t>Budżet ogółem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72946" w:rsidRPr="009C09DF" w:rsidRDefault="0077294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C09DF">
              <w:rPr>
                <w:rFonts w:ascii="Arial" w:hAnsi="Arial" w:cs="Arial"/>
                <w:b/>
                <w:sz w:val="18"/>
                <w:szCs w:val="18"/>
              </w:rPr>
              <w:t>Dostępne środki</w:t>
            </w:r>
            <w:r w:rsidRPr="009C09DF">
              <w:rPr>
                <w:rFonts w:ascii="Arial" w:hAnsi="Arial" w:cs="Arial"/>
                <w:sz w:val="18"/>
                <w:szCs w:val="18"/>
              </w:rPr>
              <w:t xml:space="preserve"> (wg stanu na dzień …)</w:t>
            </w:r>
          </w:p>
        </w:tc>
      </w:tr>
      <w:tr w:rsidR="00772946" w:rsidTr="00856E94">
        <w:trPr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946" w:rsidRDefault="00772946" w:rsidP="002870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72946" w:rsidRPr="009C09DF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946" w:rsidRPr="009C09DF" w:rsidRDefault="0077294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946" w:rsidTr="002870B8">
        <w:trPr>
          <w:trHeight w:val="315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Udział w budżecie (na podstawie zawartych umów)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772946" w:rsidRPr="009C09DF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09DF">
              <w:rPr>
                <w:rFonts w:ascii="Arial" w:hAnsi="Arial" w:cs="Arial"/>
                <w:b/>
                <w:sz w:val="18"/>
                <w:szCs w:val="18"/>
              </w:rPr>
              <w:t xml:space="preserve">Polska </w:t>
            </w:r>
            <w:r w:rsidRPr="009C09DF">
              <w:rPr>
                <w:rFonts w:ascii="Arial" w:hAnsi="Arial" w:cs="Arial"/>
                <w:sz w:val="18"/>
                <w:szCs w:val="18"/>
              </w:rPr>
              <w:t>(wg stanu na dzień…)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72946" w:rsidRPr="009C09DF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09DF">
              <w:rPr>
                <w:rFonts w:ascii="Arial" w:hAnsi="Arial" w:cs="Arial"/>
                <w:b/>
                <w:sz w:val="18"/>
                <w:szCs w:val="18"/>
              </w:rPr>
              <w:t xml:space="preserve">Pomorskie </w:t>
            </w:r>
            <w:r w:rsidRPr="009C09DF">
              <w:rPr>
                <w:rFonts w:ascii="Arial" w:hAnsi="Arial" w:cs="Arial"/>
                <w:sz w:val="18"/>
                <w:szCs w:val="18"/>
              </w:rPr>
              <w:t>(wg stanu na dzień …)</w:t>
            </w:r>
          </w:p>
        </w:tc>
      </w:tr>
      <w:tr w:rsidR="00772946" w:rsidTr="00856E94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946" w:rsidRDefault="00772946" w:rsidP="002870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72946" w:rsidRPr="001D04D6" w:rsidRDefault="0077294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946" w:rsidRPr="001D04D6" w:rsidRDefault="0077294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270B0" w:rsidTr="001270B0">
        <w:trPr>
          <w:trHeight w:val="1066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1270B0" w:rsidRDefault="001270B0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finansowania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1270B0" w:rsidRPr="00BE2DC3" w:rsidRDefault="001270B0" w:rsidP="001270B0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BE2DC3">
              <w:rPr>
                <w:rFonts w:ascii="Arial" w:hAnsi="Arial" w:cs="Arial"/>
                <w:sz w:val="18"/>
                <w:szCs w:val="18"/>
              </w:rPr>
              <w:t>Program może zapewniać finansowanie w dowolnej formie i na zasadach przewidzianych w rozporządzeniu finansowym, w tym w postaci:</w:t>
            </w:r>
          </w:p>
          <w:p w:rsidR="001270B0" w:rsidRPr="00BE2DC3" w:rsidRDefault="001270B0" w:rsidP="001270B0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BE2DC3">
              <w:rPr>
                <w:rFonts w:ascii="Arial" w:hAnsi="Arial" w:cs="Arial"/>
                <w:sz w:val="18"/>
                <w:szCs w:val="18"/>
              </w:rPr>
              <w:t xml:space="preserve">Zamówień, stanowiących </w:t>
            </w:r>
            <w:r w:rsidR="00BE2DC3" w:rsidRPr="00BE2DC3">
              <w:rPr>
                <w:rFonts w:ascii="Arial" w:hAnsi="Arial" w:cs="Arial"/>
                <w:sz w:val="18"/>
                <w:szCs w:val="18"/>
              </w:rPr>
              <w:t>podstawową formę,</w:t>
            </w:r>
          </w:p>
          <w:p w:rsidR="001270B0" w:rsidRPr="00BE2DC3" w:rsidRDefault="00BE2DC3" w:rsidP="001270B0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BE2DC3">
              <w:rPr>
                <w:rFonts w:ascii="Arial" w:hAnsi="Arial" w:cs="Arial"/>
                <w:sz w:val="18"/>
                <w:szCs w:val="18"/>
              </w:rPr>
              <w:t>Dotacji,</w:t>
            </w:r>
          </w:p>
          <w:p w:rsidR="001270B0" w:rsidRPr="00BE2DC3" w:rsidRDefault="001270B0" w:rsidP="001270B0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BE2DC3">
              <w:rPr>
                <w:rFonts w:ascii="Arial" w:hAnsi="Arial" w:cs="Arial"/>
                <w:sz w:val="18"/>
                <w:szCs w:val="18"/>
              </w:rPr>
              <w:t>Nagród</w:t>
            </w:r>
            <w:r w:rsidR="00BE2DC3" w:rsidRPr="00BE2DC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E2DC3" w:rsidRPr="00BE2DC3" w:rsidRDefault="001270B0" w:rsidP="00BE2DC3">
            <w:pPr>
              <w:pStyle w:val="Akapitzlist"/>
              <w:numPr>
                <w:ilvl w:val="0"/>
                <w:numId w:val="14"/>
              </w:num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2DC3">
              <w:rPr>
                <w:rFonts w:ascii="Arial" w:hAnsi="Arial" w:cs="Arial"/>
                <w:sz w:val="18"/>
                <w:szCs w:val="18"/>
              </w:rPr>
              <w:t>Instrumentów finansowych w ramach operacji łączonych</w:t>
            </w:r>
            <w:r w:rsidR="00BE2DC3" w:rsidRPr="00BE2D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72946" w:rsidTr="002870B8">
        <w:trPr>
          <w:trHeight w:val="168"/>
        </w:trPr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Zasięg terytorialny</w:t>
            </w:r>
          </w:p>
        </w:tc>
        <w:tc>
          <w:tcPr>
            <w:tcW w:w="76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43F9C" w:rsidRPr="00143F9C" w:rsidRDefault="00143F9C" w:rsidP="00143F9C">
            <w:pPr>
              <w:spacing w:after="60"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43F9C">
              <w:rPr>
                <w:rFonts w:ascii="Arial" w:hAnsi="Arial" w:cs="Arial"/>
                <w:sz w:val="18"/>
                <w:szCs w:val="18"/>
              </w:rPr>
              <w:t xml:space="preserve">Państwa członkowskie </w:t>
            </w:r>
            <w:r w:rsidR="0028443D">
              <w:rPr>
                <w:rFonts w:ascii="Arial" w:hAnsi="Arial" w:cs="Arial"/>
                <w:sz w:val="18"/>
                <w:szCs w:val="18"/>
              </w:rPr>
              <w:t xml:space="preserve">UE </w:t>
            </w:r>
            <w:r w:rsidRPr="00143F9C">
              <w:rPr>
                <w:rFonts w:ascii="Arial" w:hAnsi="Arial" w:cs="Arial"/>
                <w:sz w:val="18"/>
                <w:szCs w:val="18"/>
              </w:rPr>
              <w:t>oraz państwa trzecie stowarzyszone z Programem:</w:t>
            </w:r>
          </w:p>
          <w:p w:rsidR="00772946" w:rsidRPr="00143F9C" w:rsidRDefault="00D06818" w:rsidP="002870B8">
            <w:pPr>
              <w:pStyle w:val="Akapitzlist"/>
              <w:numPr>
                <w:ilvl w:val="0"/>
                <w:numId w:val="4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Kraje</w:t>
            </w:r>
            <w:proofErr w:type="spellEnd"/>
            <w:r w:rsidR="00BA5E13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EFTA</w:t>
            </w:r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będące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członkami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EOG</w:t>
            </w:r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,</w:t>
            </w:r>
          </w:p>
          <w:p w:rsidR="00D06818" w:rsidRPr="00143F9C" w:rsidRDefault="00D06818" w:rsidP="002870B8">
            <w:pPr>
              <w:pStyle w:val="Akapitzlist"/>
              <w:numPr>
                <w:ilvl w:val="0"/>
                <w:numId w:val="4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Kraje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kandydujące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,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potencjalnie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kandydujące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i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przystępujące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do UE</w:t>
            </w:r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,</w:t>
            </w:r>
          </w:p>
          <w:p w:rsidR="00D06818" w:rsidRDefault="00D06818" w:rsidP="002870B8">
            <w:pPr>
              <w:pStyle w:val="Akapitzlist"/>
              <w:numPr>
                <w:ilvl w:val="0"/>
                <w:numId w:val="4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Kraje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objęte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europejską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polityką</w:t>
            </w:r>
            <w:proofErr w:type="spellEnd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sąsiedztwa</w:t>
            </w:r>
            <w:proofErr w:type="spellEnd"/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,</w:t>
            </w:r>
          </w:p>
          <w:p w:rsidR="00BE792D" w:rsidRPr="00143F9C" w:rsidRDefault="0028443D" w:rsidP="00143F9C">
            <w:pPr>
              <w:pStyle w:val="Akapitzlist"/>
              <w:numPr>
                <w:ilvl w:val="0"/>
                <w:numId w:val="4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  <w:lang w:val="de-DE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Inne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 w:eastAsia="en-US"/>
              </w:rPr>
              <w:t>p</w:t>
            </w:r>
            <w:r w:rsidR="00D06818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aństwa</w:t>
            </w:r>
            <w:proofErr w:type="spellEnd"/>
            <w:r w:rsidR="00D06818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="00D06818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trzecie</w:t>
            </w:r>
            <w:proofErr w:type="spellEnd"/>
            <w:r w:rsidR="00D06818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, </w:t>
            </w:r>
            <w:proofErr w:type="spellStart"/>
            <w:r w:rsidR="00D06818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zgodnie</w:t>
            </w:r>
            <w:proofErr w:type="spellEnd"/>
            <w:r w:rsidR="00D06818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z </w:t>
            </w:r>
            <w:proofErr w:type="spellStart"/>
            <w:r w:rsidR="00D06818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warunkami</w:t>
            </w:r>
            <w:proofErr w:type="spellEnd"/>
            <w:r w:rsidR="00D06818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="003213AD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ustan</w:t>
            </w:r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owionymi</w:t>
            </w:r>
            <w:proofErr w:type="spellEnd"/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w </w:t>
            </w:r>
            <w:proofErr w:type="spellStart"/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umowach</w:t>
            </w:r>
            <w:proofErr w:type="spellEnd"/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regulujących</w:t>
            </w:r>
            <w:proofErr w:type="spellEnd"/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, </w:t>
            </w:r>
            <w:proofErr w:type="spellStart"/>
            <w:r w:rsidR="003213AD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uczestnictwo</w:t>
            </w:r>
            <w:proofErr w:type="spellEnd"/>
            <w:r w:rsidR="003213AD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w </w:t>
            </w:r>
            <w:proofErr w:type="spellStart"/>
            <w:r w:rsidR="003213AD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programach</w:t>
            </w:r>
            <w:proofErr w:type="spellEnd"/>
            <w:r w:rsidR="003213AD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 xml:space="preserve"> UE</w:t>
            </w:r>
            <w:r w:rsidR="00143F9C" w:rsidRPr="00143F9C">
              <w:rPr>
                <w:rFonts w:ascii="Arial" w:hAnsi="Arial" w:cs="Arial"/>
                <w:sz w:val="18"/>
                <w:szCs w:val="18"/>
                <w:lang w:val="de-DE" w:eastAsia="en-US"/>
              </w:rPr>
              <w:t>.</w:t>
            </w:r>
          </w:p>
        </w:tc>
      </w:tr>
      <w:tr w:rsidR="00772946" w:rsidTr="00EC2A3C"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Potencjalni wnioskodawcy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43F9C" w:rsidRDefault="003213AD" w:rsidP="00143F9C">
            <w:pPr>
              <w:pStyle w:val="Akapitzlist"/>
              <w:numPr>
                <w:ilvl w:val="0"/>
                <w:numId w:val="5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3F9C">
              <w:rPr>
                <w:rFonts w:ascii="Arial" w:hAnsi="Arial" w:cs="Arial"/>
                <w:sz w:val="18"/>
                <w:szCs w:val="18"/>
                <w:lang w:eastAsia="en-US"/>
              </w:rPr>
              <w:t>Przedsiębiorstwa, w szczególności MŚP</w:t>
            </w:r>
            <w:r w:rsidR="00143F9C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:rsidR="00FF3389" w:rsidRPr="00FF3389" w:rsidRDefault="002329D5" w:rsidP="00FF3389">
            <w:pPr>
              <w:pStyle w:val="Akapitzlist"/>
              <w:numPr>
                <w:ilvl w:val="0"/>
                <w:numId w:val="5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Administracja publiczna.</w:t>
            </w:r>
          </w:p>
        </w:tc>
      </w:tr>
      <w:tr w:rsidR="00772946" w:rsidTr="009168A0"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Minimalne wymogi dla projektu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Kryteria przyznawania dotacji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1. Kryteria przyznawania dotacji określa się w programach prac oraz w zaproszeniach do składania wniosków z uwzględnieniem co najmniej następujących elementów: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a) stopnia zaawansowania danego działania w fazie rozwoju projektu; </w:t>
            </w:r>
          </w:p>
          <w:p w:rsidR="00D35A58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b) racjonalności proponowanego planu realizacji;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c) potrzeby przezwyciężenia przeszkód finansowych takich jak brak finansowania rynkowego.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2. Przy określaniu kryteriów przyznawania dotacji, w stosownych przypadkach uwzględnia się następujące elementy: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a) stymulujący wpływ unijnego wsparcia na inwestycje publiczne i prywatne;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b) oczekiwane skutki ekonomiczne, społeczne, wpływ na klimat i środowisko;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c) dostępność odnośnych usług i łatwość dostępu do nich;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d) wymiar transeuropejski;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e) wyważony rozkład geograficzny w całej Unii, w tym zmniejszanie przepaści cyfrowej między poszczególnymi obszarami geograficznymi, z uwzględnieniem regionów najbardziej oddalonych;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f) obecność długoterminowego planu zapewnienia stabilności działań; </w:t>
            </w:r>
          </w:p>
          <w:p w:rsidR="00500482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 xml:space="preserve">g) swoboda ponownego wykorzystania i dostosowania wyników projektów; </w:t>
            </w:r>
          </w:p>
          <w:p w:rsidR="009168A0" w:rsidRPr="00500482" w:rsidRDefault="00500482" w:rsidP="00500482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00482">
              <w:rPr>
                <w:rFonts w:ascii="Arial" w:hAnsi="Arial" w:cs="Arial"/>
                <w:sz w:val="18"/>
                <w:szCs w:val="18"/>
              </w:rPr>
              <w:t>h) synergia i komplementarność z innymi unijnymi programami.</w:t>
            </w:r>
          </w:p>
        </w:tc>
      </w:tr>
      <w:tr w:rsidR="00772946" w:rsidTr="00500482"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Główne kategorie wydatków kwalifikowalnych (ew. wyłączenia)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Cel szczegółowy nr 1 – Obliczenia wielkiej skali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Program służy wdrożeniu europejskiej strategii na rzecz HPC poprzez wspieranie kompleksowego unijnego ekosystemu,</w:t>
            </w:r>
            <w:r w:rsidR="00D35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55C">
              <w:rPr>
                <w:rFonts w:ascii="Arial" w:hAnsi="Arial" w:cs="Arial"/>
                <w:sz w:val="18"/>
                <w:szCs w:val="18"/>
              </w:rPr>
              <w:t>który zapewnia niezbędne zdolności w zakresie HPC i danych, aby umożliwić Europie konkurowanie w skali globalnej.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Strategia ma na celu wdrożenie światowej klasy infrastruktury z zakresu HPC i przetwarzania danych oferującej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eksaskalową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 moc obliczeniową między rokiem 2022 a 2023 oraz infrastruktury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ponadeksaskalowej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 między rokiem 2026 a 2027, gwarantując Unii niezależną i konkurencyjną podaż technologii HPC, osiągnięcie doskonałości w zakresie zastosowań HPC oraz zwiększenie dostępności i wykorzystania HPC.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Początkowe, a w stosownych przypadkach późniejsze działania w ramach niniejszego celu obejmują: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 xml:space="preserve">Ramy wspólnych zamówień 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pozwalające na stosowanie podejścia opartego na współprojektowaniu przy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>nabywaniu zintegrowanej sieci światowej klasy urządzeń HPC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, w tym nabycie infrastruktury w zakresie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eksaskalowych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 obliczeń superkomputerowych oraz przetwarzania danych. 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>Ramy wspólnych zamówień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>na nabycie infrastruktury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 w zakresie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ponadeksaskalowych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 obliczeń superkomputerowych, w tym integrację z kwantowymi technologiami obliczeniowymi.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3. Koordynację na poziomie unijnym oraz odpowiednie środki finansowe na wsparcie rozwoju, zamówień i eksploatacji takiej infrastruktury.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AC2A06">
              <w:rPr>
                <w:rFonts w:ascii="Arial" w:hAnsi="Arial" w:cs="Arial"/>
                <w:b/>
                <w:sz w:val="18"/>
                <w:szCs w:val="18"/>
              </w:rPr>
              <w:t>Tworzenie sieci skupiającej zdolności poszczególnych państw członkowskich w zakresie HPC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 i danych oraz wsparcie dla państw członkowskich pragnących zaktualizować lub nabyć nowe zdolności w zakresie HPC.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AC2A06">
              <w:rPr>
                <w:rFonts w:ascii="Arial" w:hAnsi="Arial" w:cs="Arial"/>
                <w:b/>
                <w:sz w:val="18"/>
                <w:szCs w:val="18"/>
              </w:rPr>
              <w:t>Tworzenie sieci skupiającej krajowe ośrodki zdolności w zakresie obliczeń wielkiej skali co najmniej po jednym z każdego państwa członkowskiego</w:t>
            </w:r>
            <w:r w:rsidRPr="00B1155C">
              <w:rPr>
                <w:rFonts w:ascii="Arial" w:hAnsi="Arial" w:cs="Arial"/>
                <w:sz w:val="18"/>
                <w:szCs w:val="18"/>
              </w:rPr>
              <w:t>, powiązanych z ich krajowymi ośrodkami obliczeń superkomputerowych, w celu świadczenia usług HPC na rzecz przemysłu, w szczególności MŚP, środowiska akademickiego i administracji publicznych.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6. Wykorzystanie technologii operacyjnej gotowej do użytku, w szczególności obliczenia superkomputerowe jako usługa będąca wynikiem badań naukowych i innowacji ukierunkowanych na budowę zintegrowanego unijnego ekosystemu HPC, obejmującego wszystkie segmenty naukowego i przemysłowego łańcucha wartości (sprzęt, oprogramowanie, zastosowania, usługi, wzajemne połączenia i zaawansowane umiejętności cyfrowe).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Cel szczegółowy nr 2 – Sztuczna inteligencja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1. Utworzenie wspólnych europejskich przestrzeni danych, które służyć będą udostępnieniu danych z całej Europy, w tym informacji pochodzących z ponownego wykorzystywania informacji sektora publicznego, i staną się źródłem danych wejściowych dla rozwiązań z zakresu AI. 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>Opracowanie wspólnych europejskich bibliotek algorytmów lub interfejsów do tych bibliotek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>Wspólne inwestycje z państwami członkowskimi w światowej klasy ośrodki referencyjne prowadzące doświadczenia i testy w rzeczywistych warunkach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, koncentrujące się na zastosowaniach AI w kluczowych sektorach, takich jak opieka zdrowotna, monitorowanie Ziemi lub środowiska, transport i mobilność, bezpieczeństwo, produkcja oraz finanse, jak również w innych obszarach interesu publicznego. 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 xml:space="preserve">Cel szczegółowy nr 3 – </w:t>
            </w:r>
            <w:proofErr w:type="spellStart"/>
            <w:r w:rsidRPr="00B1155C">
              <w:rPr>
                <w:rFonts w:ascii="Arial" w:hAnsi="Arial" w:cs="Arial"/>
                <w:b/>
                <w:sz w:val="18"/>
                <w:szCs w:val="18"/>
              </w:rPr>
              <w:t>Cyberbezpieczeństwo</w:t>
            </w:r>
            <w:proofErr w:type="spellEnd"/>
            <w:r w:rsidRPr="00B1155C">
              <w:rPr>
                <w:rFonts w:ascii="Arial" w:hAnsi="Arial" w:cs="Arial"/>
                <w:b/>
                <w:sz w:val="18"/>
                <w:szCs w:val="18"/>
              </w:rPr>
              <w:t xml:space="preserve"> i zaufanie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1. Wspólne </w:t>
            </w:r>
            <w:r w:rsidRPr="00AC2A06">
              <w:rPr>
                <w:rFonts w:ascii="Arial" w:hAnsi="Arial" w:cs="Arial"/>
                <w:b/>
                <w:sz w:val="18"/>
                <w:szCs w:val="18"/>
              </w:rPr>
              <w:t xml:space="preserve">inwestycje z państwami członkowskimi w zaawansowane urządzenia, infrastrukturę i know-how w dziedzinie </w:t>
            </w:r>
            <w:proofErr w:type="spellStart"/>
            <w:r w:rsidRPr="00AC2A06">
              <w:rPr>
                <w:rFonts w:ascii="Arial" w:hAnsi="Arial" w:cs="Arial"/>
                <w:b/>
                <w:sz w:val="18"/>
                <w:szCs w:val="18"/>
              </w:rPr>
              <w:t>cyberbezpieczeństwa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, które są niezbędne do ochrony infrastruktury krytycznej i całego jednolitego rynku cyfrowego.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2. Zwiększanie istniejących zdolności technologicznych i łączenie w sieć ośrodków kompetencji w państwach członkowskich oraz zapewnienie, aby zdolności te odpowiadały potrzebom sektora publicznego i przemysłu, w tym w odniesieniu do produktów i usług, które wzmacniają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cyberbezpieczeństwo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 i zaufanie w ramach jednolitego rynku cyfrowego.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3. Zapewnienie szerokiego wdrożenia skutecznych, najnowocześniejszych rozwiązań z zakresu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cyberbezpieczeństwa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 i zaufania w państwach członkowskich. 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4. Wsparcie w celu wyeliminowania luki w umiejętnościach w zakresie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cyberbezpieczeństwa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 poprzez na przykład ujednolicenie programów dotyczących umiejętności w zakresie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cyberbezpieczeństwa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, dostosowanie ich do konkretnych potrzeb sektorowych oraz ułatwienie dostępu do ukierunkowanych specjalistycznych szkoleń.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Cel szczegółowy nr 4 – Zaawansowane umiejętności cyfrowe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>Dostęp do szkoleń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 w miejscu pracy poprzez umożliwianie udziału w stażach w ośrodkach kompetencji, w przedsiębiorstwach wdrażających zaawansowane technologie cyfrowe.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>Dostęp do kursów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>w zakresie zaawansowanych technologii cyfrowych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, które będą oferowane przez instytucje szkolnictwa wyższego, instytuty badawcze oraz branżowe organy ds. certyfikacji zawodowej we współpracy z podmiotami uczestniczącymi w programie (tematyka kursów powinna obejmować sztuczną inteligencję,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cyberbezpieczeństwo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, technologie rozproszonego rejestru (np.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blockchain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), HPC i technologie kwantowe).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1155C">
              <w:rPr>
                <w:rFonts w:ascii="Arial" w:hAnsi="Arial" w:cs="Arial"/>
                <w:b/>
                <w:sz w:val="18"/>
                <w:szCs w:val="18"/>
              </w:rPr>
              <w:t>Uczestnictwo w krótkoterminowych, specjalistycznych szkoleniach zawodowych</w:t>
            </w:r>
            <w:r w:rsidRPr="00B1155C">
              <w:rPr>
                <w:rFonts w:ascii="Arial" w:hAnsi="Arial" w:cs="Arial"/>
                <w:sz w:val="18"/>
                <w:szCs w:val="18"/>
              </w:rPr>
              <w:t xml:space="preserve">, które uzyskały stosowne poświadczenie, na przykład w dziedzinie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cyberbezpieczeństwa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Cel szczegółowy nr 5 – Wdrażanie i optymalne wykorzystanie zdolności cyfrowych i interoperacyjność.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1. Modernizacja administracji publicznej: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1.1. Wspieranie państw członkowskich we wdrażaniu zasad deklaracji z Tallina w sprawie administracji elektronicznej we wszystkich dziedzinach polityki i tworzenie w razie potrzeby niezbędnych rejestrów,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1.2. Wspieranie projektowania, próbnej realizacji, wdrażania, utrzymywania, ewolucji i promowania spójnego ekosystemu transgranicznej infrastruktury usług cyfrowych oraz ułatwianie wdrażania płynnie działających, kompleksowych, bezpiecznych,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interoperacyjnych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, wielojęzycznych – w wymiarze transgranicznym lub międzysektorowym – rozwiązań i wspólnych struktur w obrębie administracji publicznych.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1.3. Wspieranie oceny, aktualizacji i propagowania istniejących wspólnych specyfikacji i norm, a także opracowywania, ustanawiania i propagowania nowych wspólnych specyfikacji, otwartych specyfikacji i norm za pośrednictwem unijnych platform normalizacyjnych.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1.4. Współpraca ukierunkowana na urzeczywistnienie europejskiego ekosystemu zaufanej infrastruktury potencjalnie wykorzystującej usługi i zastosowania z zakresu technologii rozproszonych rejestrów (np.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blockchain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), w tym wspieranie interoperacyjności i standaryzacji oraz promowanie wdrażania zastosowań transgranicznych w Unii.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2. Zdrowie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2.1. Zapewnienie, by obywatele mieli kontrolę nad swoimi danymi osobowymi oraz dostęp do swoich danych osobowych dotyczących zdrowia, a także możliwości ich współdzielenia, wykorzystywania i zarządzania nimi w wymiarze transgranicznym.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2.2. Udostępnienie lepszej jakości danych na potrzeby badań naukowych, zapobiegania chorobom oraz zindywidualizowanej opieki zdrowotnej i społecznej. Zapewnienie europejskim naukowcom prowadzącym badania w dziedzinie zdrowia i osobom zajmującym się praktyką kliniczną dostępu do niezbędnej skali zasobów (wspólne przestrzenie danych, w tym przechowywanie danych i moc obliczeniowa, wiedza fachowa i zdolności analityczne), aby umożliwić im dokonywanie przełomów w leczeniu poważnych chorób oraz chorób rzadkich.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2.3. Udostępnienie narzędzi cyfrowych na potrzeby wzmocnienia pozycji obywateli oraz w celu zapewnienia opieki skoncentrowanej na jednostce poprzez wspieranie wymiany innowacyjnych i najlepszych praktyk w zakresie cyfrowej opieki zdrowotnej, budowania zdolności i pomocy technicznej, w szczególności w dziedzinie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cyberbezpieczeństwa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, AI i HPC.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3. Sądownictwo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Umożliwianie płynnej i bezpiecznej transgranicznej komunikacji elektronicznej w obrębie sądownictwa oraz między sądownictwem a innymi właściwymi organami w obszarze wymiaru sprawiedliwości w sprawach cywilnych i karnych. Poprawa dostępu obywateli, przedsiębiorstw, prawników praktyków i pracowników sądownictwa do wymiaru sprawiedliwości oraz do informacji i procedur prawnych poprzez zapewnianie semantycznie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interoperacyjnych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 połączeń z bazami danych i rejestrami, a także ułatwianie pozasądowego rozstrzygania sporów za pośrednictwem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4. Transport, mobilność, energia i środowisko naturalne.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Wdrożenie zdecentralizowanych rozwiązań i infrastruktury wymaganych do celów zastosowań cyfrowych na dużą skalę, takich jak zautomatyzowane i oparte na sieci systemy jazdy, bezzałogowe statki powietrzne, koncepcje inteligentnej mobilności, inteligentne miasta lub inteligentne obszary wiejskie lub regiony najbardziej oddalone, z myślą o wsparciu polityki transportowej, energetycznej i środowiskowej, oraz w koordynacji z działaniami na rzecz cyfryzacji sektorów transportu i energii w ramach instrumentu „Łącząc Europę”.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5. Edukacja, kultura i media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Zapewnienie twórcom, sektorowi kreatywnemu i sektorowi kultury w Europie dostępu do najnowszych technologii cyfrowych, począwszy od AI, a skończywszy na zaawansowanych systemach obliczeniowych. Wykorzystanie europejskiego dziedzictwa kulturowego, w tym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Europeany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, do wspierania edukacji i badań naukowych oraz do propagowania różnorodności kulturowej, spójności społecznej i społeczeństwa europejskiego. Wspieranie absorpcji technologii cyfrowych w edukacji oraz wśród prywatnych i finansowanych ze środków publicznych instytucji kulturalnych.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155C">
              <w:rPr>
                <w:rFonts w:ascii="Arial" w:hAnsi="Arial" w:cs="Arial"/>
                <w:b/>
                <w:sz w:val="18"/>
                <w:szCs w:val="18"/>
              </w:rPr>
              <w:t>6. Inne działania wspierające jednolity rynek cyfrowy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Działania wzmacniające umiejętności cyfrowe i umiejętności korzystania z mediów oraz zwiększające świadomość wśród małoletnich, rodziców i nauczycieli w kwestiach związanych z zagrożeniami, jakie mogą napotkać osoby małoletnie w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internecie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, oraz na temat sposobów ochrony tych osób, jak również przeciwdziałające wspierane przez europejskie centra innowacji cyfrowych.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Wkład w zwiększenie możliwości sieci europejskich centrów innowacji cyfrowych w celu zapewnienia dostępu do zdolności cyfrowych wszystkim przedsiębiorstwom, w szczególności MŚP, w każdym regionie Unii. Taki wkład obejmuje to: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1. Dostęp do wspólnej europejskiej przestrzeni danych i platform AI oraz europejskiej infrastruktury HPC na potrzeby analizy danych i zastosowań wymagających dużych mocy obliczeniowych.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2. Dostęp do zaplecza umożliwiającego testowanie rozwiązań AI na dużą skalę oraz do zaawansowanych narzędzi w dziedzinie </w:t>
            </w:r>
            <w:proofErr w:type="spellStart"/>
            <w:r w:rsidRPr="00B1155C">
              <w:rPr>
                <w:rFonts w:ascii="Arial" w:hAnsi="Arial" w:cs="Arial"/>
                <w:sz w:val="18"/>
                <w:szCs w:val="18"/>
              </w:rPr>
              <w:t>cyberbezpieczeństwa</w:t>
            </w:r>
            <w:proofErr w:type="spellEnd"/>
            <w:r w:rsidRPr="00B115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155C" w:rsidRPr="00B1155C" w:rsidRDefault="00B1155C" w:rsidP="00B115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>3. Dostęp do zaawansowanych umiejętności cyfrowych.</w:t>
            </w:r>
          </w:p>
          <w:p w:rsidR="00EC2A3C" w:rsidRPr="00B1155C" w:rsidRDefault="00B1155C" w:rsidP="005004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1155C">
              <w:rPr>
                <w:rFonts w:ascii="Arial" w:hAnsi="Arial" w:cs="Arial"/>
                <w:sz w:val="18"/>
                <w:szCs w:val="18"/>
              </w:rPr>
              <w:t xml:space="preserve">Działania, o których mowa w akapicie pierwszym, będą koordynowane z działaniami w zakresie innowacji w dziedzinie technologii cyfrowych wspieranymi w szczególności w ramach programu „Horyzont Europa” oraz inwestycjami w europejskie centra innowacji cyfrowych wspieranymi w ramach EFRR, a także będą stanowić uzupełnienie tych działań i inwestycji. </w:t>
            </w:r>
          </w:p>
        </w:tc>
      </w:tr>
      <w:tr w:rsidR="00772946" w:rsidTr="002870B8"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Zastosowanie pomocy publicznej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946" w:rsidRPr="001D04D6" w:rsidRDefault="00772946" w:rsidP="002870B8">
            <w:pPr>
              <w:spacing w:after="60" w:line="360" w:lineRule="auto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11173">
              <w:rPr>
                <w:rFonts w:ascii="Arial" w:hAnsi="Arial" w:cs="Arial"/>
                <w:sz w:val="18"/>
                <w:szCs w:val="18"/>
              </w:rPr>
              <w:t>TAK / NIE</w:t>
            </w:r>
            <w:r w:rsidR="00911173">
              <w:rPr>
                <w:rFonts w:ascii="Arial" w:hAnsi="Arial" w:cs="Arial"/>
                <w:sz w:val="18"/>
                <w:szCs w:val="18"/>
              </w:rPr>
              <w:t xml:space="preserve"> (w trakcie rozstrzygnięć)</w:t>
            </w:r>
          </w:p>
        </w:tc>
      </w:tr>
      <w:tr w:rsidR="00772946" w:rsidTr="001270B0"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Niekonwencjonalne sposoby rozliczania kosztów / współfinansowania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D2A5A" w:rsidRPr="001D2A5A" w:rsidRDefault="001D2A5A" w:rsidP="001D2A5A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2A5A">
              <w:rPr>
                <w:rFonts w:ascii="Arial" w:hAnsi="Arial" w:cs="Arial"/>
                <w:sz w:val="18"/>
                <w:szCs w:val="18"/>
              </w:rPr>
              <w:t>- Europejskie centra innowacji cyfrowych powinny być uprawnione do przyjmowania wkładów od państw członkowskich i uczestniczących państw trzecich, w tym od organów publicznych państw członkowskich i tych państw trzecich, wkładów od międzynarodowych organów lub instytucji i od sektora prywatnego, w szczególności od członków, udziałowców lub partnerów europejskich centrów innowacji cyfrowych. Europejskie centra innowacji cyfrowych powinny również być uprawnione do zatrzymywania dochodów uzyskanych przez europejskie centra innowacji cyfrowych dzięki ich aktywom i działaniom, otrzymywania zapisów, darowizn i wkładów od osób prywatnych i finansowania z Programu lub innych programów unijnych, w tym w formie dotacji.</w:t>
            </w:r>
          </w:p>
          <w:p w:rsidR="000865BE" w:rsidRPr="001D2A5A" w:rsidRDefault="001D2A5A" w:rsidP="001D2A5A">
            <w:pPr>
              <w:spacing w:after="60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2A5A">
              <w:rPr>
                <w:rFonts w:ascii="Arial" w:hAnsi="Arial" w:cs="Arial"/>
                <w:sz w:val="18"/>
                <w:szCs w:val="18"/>
              </w:rPr>
              <w:t>- Działanie, które otrzymało wkład z innego programu unijnego, w tym środki objęte zarządzaniem dzielonym, może również otrzymać wkład z Programu Europa Cyfrowa, pod warunkiem że wkłady z poszczególnych programów nie pokrywają tych samych kosztów. Zasady odnośnego programu Unii mają zastosowanie do odpowiedniego wkładu w działanie. Finansowanie skumulowane nie może przekraczać łącznych kosztów kwalifikowalnych działania. Wsparcie z różnych programów unijnych można obliczać proporcjonalnie zgodnie z dokumentami określającymi warunki wsparcia.</w:t>
            </w:r>
          </w:p>
        </w:tc>
      </w:tr>
      <w:tr w:rsidR="00772946" w:rsidTr="002870B8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Instytucja zarządzająca</w:t>
            </w:r>
          </w:p>
        </w:tc>
        <w:tc>
          <w:tcPr>
            <w:tcW w:w="766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2946" w:rsidRPr="0057216A" w:rsidRDefault="0077294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7216A">
              <w:rPr>
                <w:rFonts w:ascii="Arial" w:hAnsi="Arial" w:cs="Arial"/>
                <w:sz w:val="18"/>
                <w:szCs w:val="18"/>
              </w:rPr>
              <w:t>Komisja Europejska</w:t>
            </w:r>
          </w:p>
        </w:tc>
      </w:tr>
      <w:tr w:rsidR="00772946" w:rsidTr="00856E94"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Agencja Wykonawcza (podmiot wdrażający)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72946" w:rsidRPr="0057216A" w:rsidRDefault="00AC6F5A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7216A">
              <w:rPr>
                <w:rFonts w:ascii="Arial" w:hAnsi="Arial" w:cs="Arial"/>
                <w:sz w:val="18"/>
                <w:szCs w:val="18"/>
              </w:rPr>
              <w:t>Dyrekcja Generalna ds. Sieci Komunikacyjnych, Treści i Technologii Komisji Europejskiej</w:t>
            </w:r>
          </w:p>
        </w:tc>
      </w:tr>
      <w:tr w:rsidR="00772946" w:rsidTr="00272705"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Rola państw członkowskich, regionów w systemie zarządzania w kraju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86D" w:rsidRDefault="00272705" w:rsidP="008614F9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614F9">
              <w:rPr>
                <w:rFonts w:ascii="Arial" w:hAnsi="Arial" w:cs="Arial"/>
                <w:sz w:val="18"/>
                <w:szCs w:val="18"/>
              </w:rPr>
              <w:t xml:space="preserve">W pierwszym roku istnienia Programu </w:t>
            </w:r>
            <w:r w:rsidR="008614F9" w:rsidRPr="008614F9">
              <w:rPr>
                <w:rFonts w:ascii="Arial" w:hAnsi="Arial" w:cs="Arial"/>
                <w:sz w:val="18"/>
                <w:szCs w:val="18"/>
              </w:rPr>
              <w:t xml:space="preserve">stworzenie </w:t>
            </w:r>
            <w:r w:rsidRPr="008614F9">
              <w:rPr>
                <w:rFonts w:ascii="Arial" w:hAnsi="Arial" w:cs="Arial"/>
                <w:sz w:val="18"/>
                <w:szCs w:val="18"/>
              </w:rPr>
              <w:t xml:space="preserve"> w drodze otwartej i kon</w:t>
            </w:r>
            <w:r w:rsidR="008614F9" w:rsidRPr="008614F9">
              <w:rPr>
                <w:rFonts w:ascii="Arial" w:hAnsi="Arial" w:cs="Arial"/>
                <w:sz w:val="18"/>
                <w:szCs w:val="18"/>
              </w:rPr>
              <w:t xml:space="preserve">kurencyjnej procedury początkowej sieci </w:t>
            </w:r>
            <w:r w:rsidRPr="008614F9">
              <w:rPr>
                <w:rFonts w:ascii="Arial" w:hAnsi="Arial" w:cs="Arial"/>
                <w:sz w:val="18"/>
                <w:szCs w:val="18"/>
              </w:rPr>
              <w:t xml:space="preserve">europejskich centrów innowacji cyfrowych obejmującą podmioty wskazane przez państwa członkowskie. W tym celu państwa członkowskie powinny mieć możliwość proponowania kandydatów zgodnie z procedurami krajowymi oraz krajowymi strukturami administracyjnymi i instytucjonalnymi. Komisja powinna w jak największym stopniu uwzględnić opinię każdego państwa członkowskiego przy wyborze europejskiego centrum innowacji cyfrowych na terytorium danego państwa członkowskiego. </w:t>
            </w:r>
          </w:p>
          <w:p w:rsidR="00FF3389" w:rsidRDefault="00FF3389" w:rsidP="008614F9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3389" w:rsidRPr="00FF3389" w:rsidRDefault="00FF3389" w:rsidP="00FF3389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F3389">
              <w:rPr>
                <w:rFonts w:ascii="Arial" w:hAnsi="Arial" w:cs="Arial"/>
                <w:sz w:val="18"/>
                <w:szCs w:val="18"/>
              </w:rPr>
              <w:t xml:space="preserve">W odniesieniu do realizacji Programu, </w:t>
            </w:r>
            <w:r w:rsidRPr="00FF3389">
              <w:rPr>
                <w:rFonts w:ascii="Arial" w:hAnsi="Arial" w:cs="Arial"/>
                <w:b/>
                <w:sz w:val="18"/>
                <w:szCs w:val="18"/>
              </w:rPr>
              <w:t>Europejskie centra innowacji cyfrowych</w:t>
            </w:r>
            <w:r w:rsidRPr="00FF3389">
              <w:rPr>
                <w:rFonts w:ascii="Arial" w:hAnsi="Arial" w:cs="Arial"/>
                <w:sz w:val="18"/>
                <w:szCs w:val="18"/>
              </w:rPr>
              <w:t xml:space="preserve"> biorą udział w realizacji Programu, wypełniając następujące działania na rzecz przemysłu unijnego, w szczególności MŚP i spółek o średniej kapitalizacji, a także sektora publicznego:</w:t>
            </w:r>
            <w:r w:rsidR="004E5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3389">
              <w:rPr>
                <w:rFonts w:ascii="Arial" w:hAnsi="Arial" w:cs="Arial"/>
                <w:sz w:val="18"/>
                <w:szCs w:val="18"/>
              </w:rPr>
              <w:t xml:space="preserve">budowanie świadomości i udzielanie lub zapewnianie dostępu do wiedzy fachowej, </w:t>
            </w:r>
            <w:r w:rsidRPr="00FF33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know-how </w:t>
            </w:r>
            <w:r w:rsidRPr="00FF3389">
              <w:rPr>
                <w:rFonts w:ascii="Arial" w:hAnsi="Arial" w:cs="Arial"/>
                <w:sz w:val="18"/>
                <w:szCs w:val="18"/>
              </w:rPr>
              <w:t xml:space="preserve">i usług z zakresu transformacji cyfrowej, w tym udostępnianie zaplecza testowego i doświadczalnego; wspieranie przedsiębiorstw, a zwłaszcza MŚP i przedsiębiorstw typu </w:t>
            </w:r>
            <w:r w:rsidRPr="00FF3389">
              <w:rPr>
                <w:rFonts w:ascii="Arial" w:hAnsi="Arial" w:cs="Arial"/>
                <w:i/>
                <w:iCs/>
                <w:sz w:val="18"/>
                <w:szCs w:val="18"/>
              </w:rPr>
              <w:t>start-</w:t>
            </w:r>
            <w:proofErr w:type="spellStart"/>
            <w:r w:rsidRPr="00FF3389"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proofErr w:type="spellEnd"/>
            <w:r w:rsidRPr="00FF33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F3389">
              <w:rPr>
                <w:rFonts w:ascii="Arial" w:hAnsi="Arial" w:cs="Arial"/>
                <w:sz w:val="18"/>
                <w:szCs w:val="18"/>
              </w:rPr>
              <w:t xml:space="preserve">oraz organizacji i administracji publicznych, w dążeniu do zwiększenia konkurencyjności i usprawnienia modeli biznesowych dzięki wykorzystaniu nowych technologii objętych Programem; ułatwianie transferu wiedzy fachowej i </w:t>
            </w:r>
            <w:r w:rsidRPr="00FF33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know-how </w:t>
            </w:r>
            <w:r w:rsidRPr="00FF3389">
              <w:rPr>
                <w:rFonts w:ascii="Arial" w:hAnsi="Arial" w:cs="Arial"/>
                <w:sz w:val="18"/>
                <w:szCs w:val="18"/>
              </w:rPr>
              <w:t xml:space="preserve">między regionami, w szczególności tworzenia sieci kontaktów MŚP, przedsiębiorstw typu </w:t>
            </w:r>
            <w:r w:rsidRPr="00FF3389">
              <w:rPr>
                <w:rFonts w:ascii="Arial" w:hAnsi="Arial" w:cs="Arial"/>
                <w:i/>
                <w:iCs/>
                <w:sz w:val="18"/>
                <w:szCs w:val="18"/>
              </w:rPr>
              <w:t>start-</w:t>
            </w:r>
            <w:proofErr w:type="spellStart"/>
            <w:r w:rsidRPr="00FF3389"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proofErr w:type="spellEnd"/>
            <w:r w:rsidRPr="00FF33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F3389">
              <w:rPr>
                <w:rFonts w:ascii="Arial" w:hAnsi="Arial" w:cs="Arial"/>
                <w:sz w:val="18"/>
                <w:szCs w:val="18"/>
              </w:rPr>
              <w:t xml:space="preserve">i spółek o średniej kapitalizacji mających siedzibę w jednym regionie z europejskimi centrami innowacji cyfrowych utworzonymi w innych regionach i najbardziej właściwymi, aby świadczyć odpowiednie usługi; zachęcanie do wymiany umiejętności i wiedzy, wspólnych inicjatyw i dobrych </w:t>
            </w:r>
            <w:proofErr w:type="spellStart"/>
            <w:r w:rsidRPr="00FF3389">
              <w:rPr>
                <w:rFonts w:ascii="Arial" w:hAnsi="Arial" w:cs="Arial"/>
                <w:sz w:val="18"/>
                <w:szCs w:val="18"/>
              </w:rPr>
              <w:t>praktyk;świadczenie</w:t>
            </w:r>
            <w:proofErr w:type="spellEnd"/>
            <w:r w:rsidRPr="00FF3389">
              <w:rPr>
                <w:rFonts w:ascii="Arial" w:hAnsi="Arial" w:cs="Arial"/>
                <w:sz w:val="18"/>
                <w:szCs w:val="18"/>
              </w:rPr>
              <w:t xml:space="preserve"> lub zapewnianie dostępu do usług tematycznych, w tym w szczególności usług związanych z AI, HPC i </w:t>
            </w:r>
            <w:proofErr w:type="spellStart"/>
            <w:r w:rsidRPr="00FF3389">
              <w:rPr>
                <w:rFonts w:ascii="Arial" w:hAnsi="Arial" w:cs="Arial"/>
                <w:sz w:val="18"/>
                <w:szCs w:val="18"/>
              </w:rPr>
              <w:t>cyberbezpieczeństwem</w:t>
            </w:r>
            <w:proofErr w:type="spellEnd"/>
            <w:r w:rsidRPr="00FF3389">
              <w:rPr>
                <w:rFonts w:ascii="Arial" w:hAnsi="Arial" w:cs="Arial"/>
                <w:sz w:val="18"/>
                <w:szCs w:val="18"/>
              </w:rPr>
              <w:t xml:space="preserve"> oraz zaufaniem – na rzecz administracji publicznej, organizacji sektora publicznego, MŚP lub spółek o średniej </w:t>
            </w:r>
            <w:proofErr w:type="spellStart"/>
            <w:r w:rsidRPr="00FF3389">
              <w:rPr>
                <w:rFonts w:ascii="Arial" w:hAnsi="Arial" w:cs="Arial"/>
                <w:sz w:val="18"/>
                <w:szCs w:val="18"/>
              </w:rPr>
              <w:t>kapitalizacji;udzielanie</w:t>
            </w:r>
            <w:proofErr w:type="spellEnd"/>
            <w:r w:rsidRPr="00FF3389">
              <w:rPr>
                <w:rFonts w:ascii="Arial" w:hAnsi="Arial" w:cs="Arial"/>
                <w:sz w:val="18"/>
                <w:szCs w:val="18"/>
              </w:rPr>
              <w:t xml:space="preserve"> wsparcia finansowego osobom trzecim w ramach celu szczegółowego nr 4. </w:t>
            </w:r>
          </w:p>
          <w:p w:rsidR="00FF3389" w:rsidRDefault="00FF3389" w:rsidP="008614F9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F3389" w:rsidRPr="008614F9" w:rsidRDefault="00FF3389" w:rsidP="008614F9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946" w:rsidTr="002870B8">
        <w:trPr>
          <w:trHeight w:val="465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Krajowe i regionalne Punkty Kontaktowe</w:t>
            </w:r>
          </w:p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Krajowe Punkty Kontaktowe: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Regionalne Punkty Kontaktowe (jeśli takie są):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Indywidulane osoby kontaktowe:</w:t>
            </w:r>
          </w:p>
        </w:tc>
      </w:tr>
      <w:tr w:rsidR="00772946" w:rsidTr="00856E94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946" w:rsidRDefault="00772946" w:rsidP="002870B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72946" w:rsidRDefault="0057216A" w:rsidP="001D2A5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946" w:rsidTr="00856E94">
        <w:trPr>
          <w:trHeight w:val="272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Strona internetowa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158EF" w:rsidRPr="00A158EF" w:rsidRDefault="00EC1FE8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A158EF" w:rsidRPr="00716C2C">
                <w:rPr>
                  <w:rStyle w:val="Hipercze"/>
                  <w:rFonts w:ascii="Arial" w:hAnsi="Arial" w:cs="Arial"/>
                  <w:sz w:val="18"/>
                  <w:szCs w:val="18"/>
                </w:rPr>
                <w:t>https://digital-strategy.ec.europa.eu/en/activities/digital-programme</w:t>
              </w:r>
            </w:hyperlink>
            <w:r w:rsidR="00A158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946" w:rsidTr="00856E94">
        <w:trPr>
          <w:trHeight w:val="236"/>
        </w:trPr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:rsidR="00772946" w:rsidRDefault="00772946" w:rsidP="002870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Nabory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158EF" w:rsidRPr="00A158EF" w:rsidRDefault="00EC1FE8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A158EF" w:rsidRPr="00716C2C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https://ec.europa.eu/info/funding-tenders/opportunities/portal/screen/programmes/digital</w:t>
              </w:r>
            </w:hyperlink>
            <w:r w:rsidR="00A158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946" w:rsidTr="002870B8">
        <w:tc>
          <w:tcPr>
            <w:tcW w:w="2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72946" w:rsidRDefault="00772946" w:rsidP="002870B8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766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4D6" w:rsidRDefault="001D04D6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D04D6">
              <w:rPr>
                <w:rFonts w:ascii="Arial" w:hAnsi="Arial" w:cs="Arial"/>
                <w:sz w:val="18"/>
                <w:szCs w:val="18"/>
              </w:rPr>
              <w:t>Rozporządzenie Parlamentu Europejskiego I Rady (UE) 2021/694 z dnia 29 kwietnia 2021 r. ustanawiające program „Cyfrowa Europa” oraz uchylające decyzję (UE) 2015/2240</w:t>
            </w:r>
          </w:p>
          <w:p w:rsidR="001D04D6" w:rsidRDefault="00EC1FE8" w:rsidP="002870B8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1D04D6" w:rsidRPr="008635EC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https://eur-lex.europa.eu/legal-content/PL/TXT/PDF/?uri=CELEX:32021R0694&amp;from=EN</w:t>
              </w:r>
            </w:hyperlink>
          </w:p>
        </w:tc>
      </w:tr>
    </w:tbl>
    <w:p w:rsidR="00745FB0" w:rsidRDefault="00EC1FE8" w:rsidP="00B1155C"/>
    <w:sectPr w:rsidR="0074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12E816"/>
    <w:multiLevelType w:val="hybridMultilevel"/>
    <w:tmpl w:val="8E442F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14E636"/>
    <w:multiLevelType w:val="hybridMultilevel"/>
    <w:tmpl w:val="F8844F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B4FCB"/>
    <w:multiLevelType w:val="hybridMultilevel"/>
    <w:tmpl w:val="D8027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2D35"/>
    <w:multiLevelType w:val="hybridMultilevel"/>
    <w:tmpl w:val="F88CD096"/>
    <w:lvl w:ilvl="0" w:tplc="C6F2E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6EC6"/>
    <w:multiLevelType w:val="hybridMultilevel"/>
    <w:tmpl w:val="85CA2226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0A16"/>
    <w:multiLevelType w:val="hybridMultilevel"/>
    <w:tmpl w:val="5DEED35E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532"/>
    <w:multiLevelType w:val="hybridMultilevel"/>
    <w:tmpl w:val="FFA87C6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7FCF"/>
    <w:multiLevelType w:val="hybridMultilevel"/>
    <w:tmpl w:val="F2E27D76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361"/>
    <w:multiLevelType w:val="hybridMultilevel"/>
    <w:tmpl w:val="EBF0D75C"/>
    <w:lvl w:ilvl="0" w:tplc="43769A14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9" w15:restartNumberingAfterBreak="0">
    <w:nsid w:val="20AA48A1"/>
    <w:multiLevelType w:val="hybridMultilevel"/>
    <w:tmpl w:val="33523E14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4A81"/>
    <w:multiLevelType w:val="hybridMultilevel"/>
    <w:tmpl w:val="9678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10C7"/>
    <w:multiLevelType w:val="hybridMultilevel"/>
    <w:tmpl w:val="5240FA2A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2739A"/>
    <w:multiLevelType w:val="hybridMultilevel"/>
    <w:tmpl w:val="DE482D36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E0D51"/>
    <w:multiLevelType w:val="hybridMultilevel"/>
    <w:tmpl w:val="4106F7B6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A30FB"/>
    <w:multiLevelType w:val="multilevel"/>
    <w:tmpl w:val="91E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D05842"/>
    <w:multiLevelType w:val="hybridMultilevel"/>
    <w:tmpl w:val="131E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01C1D"/>
    <w:multiLevelType w:val="hybridMultilevel"/>
    <w:tmpl w:val="72C2F5BA"/>
    <w:lvl w:ilvl="0" w:tplc="C6F2E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E193E"/>
    <w:multiLevelType w:val="hybridMultilevel"/>
    <w:tmpl w:val="8EA181F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E5252E"/>
    <w:multiLevelType w:val="hybridMultilevel"/>
    <w:tmpl w:val="411C5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14"/>
  </w:num>
  <w:num w:numId="17">
    <w:abstractNumId w:val="15"/>
  </w:num>
  <w:num w:numId="18">
    <w:abstractNumId w:val="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1C"/>
    <w:rsid w:val="00025A42"/>
    <w:rsid w:val="00082033"/>
    <w:rsid w:val="000865BE"/>
    <w:rsid w:val="000902F3"/>
    <w:rsid w:val="001270B0"/>
    <w:rsid w:val="00143320"/>
    <w:rsid w:val="00143F9C"/>
    <w:rsid w:val="001818D6"/>
    <w:rsid w:val="001827BB"/>
    <w:rsid w:val="001A7240"/>
    <w:rsid w:val="001D04D6"/>
    <w:rsid w:val="001D2A5A"/>
    <w:rsid w:val="002329D5"/>
    <w:rsid w:val="00272705"/>
    <w:rsid w:val="0028443D"/>
    <w:rsid w:val="002870B8"/>
    <w:rsid w:val="002E54FF"/>
    <w:rsid w:val="003213AD"/>
    <w:rsid w:val="00394C62"/>
    <w:rsid w:val="003B3CD4"/>
    <w:rsid w:val="003D1121"/>
    <w:rsid w:val="004B5155"/>
    <w:rsid w:val="004D2D48"/>
    <w:rsid w:val="004E50C6"/>
    <w:rsid w:val="00500482"/>
    <w:rsid w:val="005601AB"/>
    <w:rsid w:val="0057216A"/>
    <w:rsid w:val="005A5087"/>
    <w:rsid w:val="005F5B65"/>
    <w:rsid w:val="00644BF5"/>
    <w:rsid w:val="00732661"/>
    <w:rsid w:val="00752771"/>
    <w:rsid w:val="0075786D"/>
    <w:rsid w:val="00772946"/>
    <w:rsid w:val="00772C38"/>
    <w:rsid w:val="007A4E08"/>
    <w:rsid w:val="007E7518"/>
    <w:rsid w:val="00856E94"/>
    <w:rsid w:val="008614F9"/>
    <w:rsid w:val="00911173"/>
    <w:rsid w:val="009168A0"/>
    <w:rsid w:val="00975DA7"/>
    <w:rsid w:val="009C09DF"/>
    <w:rsid w:val="00A158EF"/>
    <w:rsid w:val="00AC2A06"/>
    <w:rsid w:val="00AC6F5A"/>
    <w:rsid w:val="00B1155C"/>
    <w:rsid w:val="00B81DF8"/>
    <w:rsid w:val="00BA5E13"/>
    <w:rsid w:val="00BD4F4E"/>
    <w:rsid w:val="00BE2DC3"/>
    <w:rsid w:val="00BE792D"/>
    <w:rsid w:val="00D06818"/>
    <w:rsid w:val="00D35A58"/>
    <w:rsid w:val="00DE4CAD"/>
    <w:rsid w:val="00E17DBC"/>
    <w:rsid w:val="00EC2A3C"/>
    <w:rsid w:val="00F5381C"/>
    <w:rsid w:val="00F97ABE"/>
    <w:rsid w:val="00FA6BD9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B00D-25A6-4BC6-8A40-F92741F0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9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9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2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GRAMZnak">
    <w:name w:val="PROGRAM Znak"/>
    <w:basedOn w:val="Domylnaczcionkaakapitu"/>
    <w:link w:val="PROGRAM"/>
    <w:locked/>
    <w:rsid w:val="00772946"/>
    <w:rPr>
      <w:rFonts w:ascii="Arial" w:hAnsi="Arial" w:cs="Arial"/>
      <w:b/>
      <w:sz w:val="18"/>
      <w:szCs w:val="18"/>
    </w:rPr>
  </w:style>
  <w:style w:type="paragraph" w:customStyle="1" w:styleId="PROGRAM">
    <w:name w:val="PROGRAM"/>
    <w:basedOn w:val="Normalny"/>
    <w:link w:val="PROGRAMZnak"/>
    <w:qFormat/>
    <w:rsid w:val="00772946"/>
    <w:pPr>
      <w:spacing w:after="60" w:line="360" w:lineRule="auto"/>
      <w:outlineLvl w:val="0"/>
    </w:pPr>
    <w:rPr>
      <w:rFonts w:ascii="Arial" w:hAnsi="Arial" w:cs="Arial"/>
      <w:b/>
      <w:sz w:val="18"/>
      <w:szCs w:val="18"/>
    </w:rPr>
  </w:style>
  <w:style w:type="character" w:customStyle="1" w:styleId="rpc61">
    <w:name w:val="_rpc_61"/>
    <w:basedOn w:val="Domylnaczcionkaakapitu"/>
    <w:rsid w:val="00772946"/>
  </w:style>
  <w:style w:type="character" w:styleId="UyteHipercze">
    <w:name w:val="FollowedHyperlink"/>
    <w:basedOn w:val="Domylnaczcionkaakapitu"/>
    <w:uiPriority w:val="99"/>
    <w:semiHidden/>
    <w:unhideWhenUsed/>
    <w:rsid w:val="000902F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PDF/?uri=CELEX:32021R0694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programmes/digital" TargetMode="External"/><Relationship Id="rId5" Type="http://schemas.openxmlformats.org/officeDocument/2006/relationships/hyperlink" Target="https://digital-strategy.ec.europa.eu/en/activities/digital-program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2786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Kozioł Natalia</dc:creator>
  <cp:keywords/>
  <dc:description/>
  <cp:lastModifiedBy>Małgorzata Jankiewicz</cp:lastModifiedBy>
  <cp:revision>22</cp:revision>
  <cp:lastPrinted>2021-12-16T12:45:00Z</cp:lastPrinted>
  <dcterms:created xsi:type="dcterms:W3CDTF">2020-06-24T13:06:00Z</dcterms:created>
  <dcterms:modified xsi:type="dcterms:W3CDTF">2021-12-16T12:45:00Z</dcterms:modified>
</cp:coreProperties>
</file>