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23"/>
        <w:gridCol w:w="1637"/>
        <w:gridCol w:w="993"/>
        <w:gridCol w:w="567"/>
        <w:gridCol w:w="2409"/>
      </w:tblGrid>
      <w:tr w:rsidR="00183D01" w:rsidRPr="001D523A" w:rsidTr="00A5681B">
        <w:trPr>
          <w:trHeight w:val="428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Nazwa programu</w:t>
            </w:r>
          </w:p>
        </w:tc>
        <w:tc>
          <w:tcPr>
            <w:tcW w:w="80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A5681B">
            <w:pPr>
              <w:spacing w:after="60" w:line="36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Instrument „Łącząc Europę”</w:t>
            </w:r>
            <w:bookmarkEnd w:id="0"/>
          </w:p>
        </w:tc>
      </w:tr>
      <w:tr w:rsidR="00183D01" w:rsidRPr="001D523A" w:rsidTr="00A5681B">
        <w:trPr>
          <w:trHeight w:val="345"/>
        </w:trPr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Obszar tematyczny /właściwy RPS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na rzecz poprawy sektorów: </w:t>
            </w:r>
            <w:r w:rsidRPr="007E06EE">
              <w:rPr>
                <w:rFonts w:ascii="Arial" w:hAnsi="Arial" w:cs="Arial"/>
                <w:sz w:val="18"/>
                <w:szCs w:val="18"/>
              </w:rPr>
              <w:t>transportu, energii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technologii cyfrowych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Syntetyczny opis celów Programu/ priorytety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7E06EE" w:rsidRDefault="00183D01" w:rsidP="00A568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>Nadrzędnym celem instrumentu „Łącząc Europę” jest wspieranie realizacji celów polityki UE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sektorach transportu, energii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technologii cyfrowych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odniesieniu do sieci transeuropejskich poprzez umożliwianie lub przyspieszanie inwestycji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projekty będące przedmiotem wspólnego zainteresowania,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także wspieranie transgranicznej współpracy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 xml:space="preserve">zakresie wytwarzania energii odnawialnej. </w:t>
            </w:r>
          </w:p>
          <w:p w:rsidR="00183D01" w:rsidRDefault="00183D01" w:rsidP="00A568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  <w:u w:val="single"/>
              </w:rPr>
              <w:t>W ramach tego programu realizowane są następujące cele:</w:t>
            </w:r>
          </w:p>
          <w:p w:rsidR="00183D01" w:rsidRPr="007C569C" w:rsidRDefault="00183D01" w:rsidP="00183D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 xml:space="preserve">rozwój i modernizacja transeuropejskich sieci w dziedzinach transportu, energii i technologii cyfrowych, </w:t>
            </w:r>
          </w:p>
          <w:p w:rsidR="00183D01" w:rsidRPr="007E06EE" w:rsidRDefault="00183D01" w:rsidP="00183D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>ułatwianie współpracy transgranicznej w dziedzinie energii odnawialnej, z uwzględnieniem długoterminowych zobowiązań do obniżenia emisyjności oraz z naciskiem na synergię między sektorami.</w:t>
            </w:r>
          </w:p>
          <w:p w:rsidR="00183D01" w:rsidRPr="001D523A" w:rsidRDefault="00183D01" w:rsidP="00A5681B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  <w:u w:val="single"/>
              </w:rPr>
              <w:t>Do priorytetów w projekcie należą:</w:t>
            </w:r>
          </w:p>
          <w:p w:rsidR="00183D01" w:rsidRPr="007E06EE" w:rsidRDefault="00183D01" w:rsidP="00183D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 xml:space="preserve">w sektorze transportu: </w:t>
            </w:r>
          </w:p>
          <w:p w:rsidR="00183D01" w:rsidRPr="007E06EE" w:rsidRDefault="00183D01" w:rsidP="00183D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360" w:lineRule="auto"/>
              <w:ind w:left="10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>przyczynianie się do opracowania projektów będących przedmiotem wspólnego zainteresowania, dotyczących wydajnych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wzajemnie połączonych sieci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infrastruktury na potrzeby inteligentnej, zrównoważonej, sprzyjającej włączeniu społecznemu, bezpiecznej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chronionej mobilności</w:t>
            </w:r>
          </w:p>
          <w:p w:rsidR="00183D01" w:rsidRPr="007E06EE" w:rsidRDefault="00183D01" w:rsidP="00183D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360" w:lineRule="auto"/>
              <w:ind w:left="10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>dostosowanie sieci TEN-T do potrzeb w</w:t>
            </w:r>
            <w:r>
              <w:rPr>
                <w:rFonts w:ascii="Arial" w:hAnsi="Arial" w:cs="Arial"/>
                <w:sz w:val="18"/>
                <w:szCs w:val="18"/>
              </w:rPr>
              <w:t xml:space="preserve"> zakresie mobilności wojskowej</w:t>
            </w:r>
          </w:p>
          <w:p w:rsidR="00183D01" w:rsidRPr="007E06EE" w:rsidRDefault="00183D01" w:rsidP="00183D0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>w sektorze energii: przyczynianie się do opracowania projektów będących przedmiotem wspólnego zainteresowania, dotyczących dalszej integracji wewnętrznego rynku energii, interoperacyjności sieci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 xml:space="preserve">wymiarze </w:t>
            </w:r>
            <w:proofErr w:type="spellStart"/>
            <w:r w:rsidRPr="007E06EE">
              <w:rPr>
                <w:rFonts w:ascii="Arial" w:hAnsi="Arial" w:cs="Arial"/>
                <w:sz w:val="18"/>
                <w:szCs w:val="18"/>
              </w:rPr>
              <w:t>ponadgranicznym</w:t>
            </w:r>
            <w:proofErr w:type="spellEnd"/>
            <w:r w:rsidRPr="007E06EE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ponadsektorowym, ułatwiających dekarbonizację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zapewniających bezpieczeństwo dostaw,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także ułatwianie współpracy transgranicznej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dziedzinie energii odnawialnej</w:t>
            </w:r>
          </w:p>
          <w:p w:rsidR="00183D01" w:rsidRPr="007E06EE" w:rsidRDefault="00183D01" w:rsidP="00183D0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06EE">
              <w:rPr>
                <w:rFonts w:ascii="Arial" w:hAnsi="Arial" w:cs="Arial"/>
                <w:sz w:val="18"/>
                <w:szCs w:val="18"/>
              </w:rPr>
              <w:t>w sektorze technologii cyfrowych: przyczynianie się do upowszechnienia sieci cyfrowych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bardzo dużej przepustowości oraz systemów 5G, do zwiększenia odporności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przepustowości cyfrowych sieci szkieletowych na terytoriach UE poprzez połączenie ich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sąsiadującymi terytoriami,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jak również do cyfryzacji sieci transportowych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6EE">
              <w:rPr>
                <w:rFonts w:ascii="Arial" w:hAnsi="Arial" w:cs="Arial"/>
                <w:sz w:val="18"/>
                <w:szCs w:val="18"/>
              </w:rPr>
              <w:t>energetycznych.</w:t>
            </w:r>
          </w:p>
        </w:tc>
      </w:tr>
      <w:tr w:rsidR="00183D01" w:rsidRPr="001D523A" w:rsidTr="00A5681B">
        <w:trPr>
          <w:trHeight w:val="91"/>
        </w:trPr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Okres finansowania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523A">
              <w:rPr>
                <w:rFonts w:ascii="Arial" w:hAnsi="Arial" w:cs="Arial"/>
                <w:sz w:val="18"/>
                <w:szCs w:val="18"/>
              </w:rPr>
              <w:t>2014-2020</w:t>
            </w:r>
          </w:p>
        </w:tc>
      </w:tr>
      <w:tr w:rsidR="00183D01" w:rsidRPr="001D523A" w:rsidTr="00A5681B">
        <w:trPr>
          <w:trHeight w:val="278"/>
        </w:trPr>
        <w:tc>
          <w:tcPr>
            <w:tcW w:w="2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Budżet programu, w tym:</w:t>
            </w:r>
          </w:p>
        </w:tc>
        <w:tc>
          <w:tcPr>
            <w:tcW w:w="5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Budżet ogółem: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 xml:space="preserve">Dostępne środki </w:t>
            </w:r>
            <w:r w:rsidRPr="001D523A">
              <w:rPr>
                <w:rFonts w:ascii="Arial" w:hAnsi="Arial" w:cs="Arial"/>
                <w:sz w:val="18"/>
                <w:szCs w:val="18"/>
              </w:rPr>
              <w:t>(wg stanu na dzień 12 luty 2018 r.):</w:t>
            </w:r>
          </w:p>
        </w:tc>
      </w:tr>
      <w:tr w:rsidR="00183D01" w:rsidRPr="001D523A" w:rsidTr="00A5681B">
        <w:trPr>
          <w:trHeight w:val="322"/>
        </w:trPr>
        <w:tc>
          <w:tcPr>
            <w:tcW w:w="20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D01" w:rsidRPr="00A839CF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CF">
              <w:rPr>
                <w:rFonts w:ascii="Arial" w:hAnsi="Arial" w:cs="Arial"/>
                <w:sz w:val="18"/>
                <w:szCs w:val="18"/>
              </w:rPr>
              <w:t>42,265 mln EUR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D01" w:rsidRPr="001D523A" w:rsidTr="00A5681B">
        <w:trPr>
          <w:trHeight w:val="322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Koperta dla Polski</w:t>
            </w:r>
          </w:p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(jeżeli dotyczy)</w:t>
            </w: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Budżet ogółem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Dostępne środki</w:t>
            </w:r>
            <w:r w:rsidRPr="001D523A">
              <w:rPr>
                <w:rFonts w:ascii="Arial" w:hAnsi="Arial" w:cs="Arial"/>
                <w:sz w:val="18"/>
                <w:szCs w:val="18"/>
              </w:rPr>
              <w:t xml:space="preserve"> (wg stanu na dzień …)</w:t>
            </w:r>
          </w:p>
        </w:tc>
      </w:tr>
      <w:tr w:rsidR="00183D01" w:rsidRPr="001D523A" w:rsidTr="00A5681B">
        <w:trPr>
          <w:trHeight w:val="322"/>
        </w:trPr>
        <w:tc>
          <w:tcPr>
            <w:tcW w:w="20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D01" w:rsidRPr="001D523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D01" w:rsidRPr="001D523A" w:rsidTr="00A5681B">
        <w:trPr>
          <w:trHeight w:val="315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Udział w budżecie (na podstawie zawartych umów)</w:t>
            </w: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 xml:space="preserve">Polska </w:t>
            </w:r>
            <w:r>
              <w:rPr>
                <w:rFonts w:ascii="Arial" w:hAnsi="Arial" w:cs="Arial"/>
                <w:sz w:val="18"/>
                <w:szCs w:val="18"/>
              </w:rPr>
              <w:t xml:space="preserve">(wg stanu na </w:t>
            </w:r>
            <w:r w:rsidRPr="001D52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 xml:space="preserve">Pomorskie </w:t>
            </w:r>
            <w:r w:rsidRPr="001D523A">
              <w:rPr>
                <w:rFonts w:ascii="Arial" w:hAnsi="Arial" w:cs="Arial"/>
                <w:sz w:val="18"/>
                <w:szCs w:val="18"/>
              </w:rPr>
              <w:t>(wg stanu na dzień …)</w:t>
            </w:r>
          </w:p>
        </w:tc>
      </w:tr>
      <w:tr w:rsidR="00183D01" w:rsidRPr="001D523A" w:rsidTr="00A5681B">
        <w:trPr>
          <w:trHeight w:val="315"/>
        </w:trPr>
        <w:tc>
          <w:tcPr>
            <w:tcW w:w="20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D01" w:rsidRPr="001D523A" w:rsidTr="00A5681B">
        <w:trPr>
          <w:trHeight w:val="315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 xml:space="preserve">Rodzaj finansowania </w:t>
            </w: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Dotacje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Instrumenty finansowe</w:t>
            </w:r>
          </w:p>
        </w:tc>
      </w:tr>
      <w:tr w:rsidR="00183D01" w:rsidRPr="001D523A" w:rsidTr="00A5681B">
        <w:trPr>
          <w:trHeight w:val="315"/>
        </w:trPr>
        <w:tc>
          <w:tcPr>
            <w:tcW w:w="20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D01" w:rsidRPr="009B0A2F" w:rsidRDefault="00183D01" w:rsidP="00183D01">
            <w:pPr>
              <w:pStyle w:val="Akapitzlist"/>
              <w:numPr>
                <w:ilvl w:val="0"/>
                <w:numId w:val="11"/>
              </w:numPr>
              <w:spacing w:after="60" w:line="360" w:lineRule="auto"/>
              <w:ind w:left="3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0A2F">
              <w:rPr>
                <w:rFonts w:ascii="Arial" w:hAnsi="Arial" w:cs="Arial"/>
                <w:sz w:val="18"/>
                <w:szCs w:val="18"/>
              </w:rPr>
              <w:t xml:space="preserve">60% całkowitej puli środków finansowych programu zostanie przeznaczone na działania objęte programem przyczyniające </w:t>
            </w:r>
            <w:r w:rsidRPr="009B0A2F">
              <w:rPr>
                <w:rFonts w:ascii="Arial" w:hAnsi="Arial" w:cs="Arial"/>
                <w:sz w:val="18"/>
                <w:szCs w:val="18"/>
              </w:rPr>
              <w:lastRenderedPageBreak/>
              <w:t xml:space="preserve">się do realizacji celów klimatycznych, na podstawie –między innymi –następujących „wskaźników </w:t>
            </w:r>
            <w:proofErr w:type="spellStart"/>
            <w:r w:rsidRPr="009B0A2F">
              <w:rPr>
                <w:rFonts w:ascii="Arial" w:hAnsi="Arial" w:cs="Arial"/>
                <w:sz w:val="18"/>
                <w:szCs w:val="18"/>
              </w:rPr>
              <w:t>zRio</w:t>
            </w:r>
            <w:proofErr w:type="spellEnd"/>
            <w:r w:rsidRPr="009B0A2F">
              <w:rPr>
                <w:rFonts w:ascii="Arial" w:hAnsi="Arial" w:cs="Arial"/>
                <w:sz w:val="18"/>
                <w:szCs w:val="18"/>
              </w:rPr>
              <w:t xml:space="preserve">”: </w:t>
            </w:r>
          </w:p>
          <w:p w:rsidR="00183D01" w:rsidRPr="009B0A2F" w:rsidRDefault="00183D01" w:rsidP="00183D01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ind w:left="47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0A2F">
              <w:rPr>
                <w:rFonts w:ascii="Arial" w:hAnsi="Arial" w:cs="Arial"/>
                <w:sz w:val="18"/>
                <w:szCs w:val="18"/>
              </w:rPr>
              <w:t xml:space="preserve">100% dla wydatków dotyczących infrastruktury kolejowej, paliw alternatywnych, czystego transportu miejskiego, </w:t>
            </w:r>
            <w:proofErr w:type="spellStart"/>
            <w:r w:rsidRPr="009B0A2F">
              <w:rPr>
                <w:rFonts w:ascii="Arial" w:hAnsi="Arial" w:cs="Arial"/>
                <w:sz w:val="18"/>
                <w:szCs w:val="18"/>
              </w:rPr>
              <w:t>przesyłu</w:t>
            </w:r>
            <w:proofErr w:type="spellEnd"/>
            <w:r w:rsidRPr="009B0A2F">
              <w:rPr>
                <w:rFonts w:ascii="Arial" w:hAnsi="Arial" w:cs="Arial"/>
                <w:sz w:val="18"/>
                <w:szCs w:val="18"/>
              </w:rPr>
              <w:t xml:space="preserve"> energii, magazynowania energii elektrycznej, inteligentnych sieci, transportu CO2 oraz energii odnawialnej; 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ind w:left="47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0A2F">
              <w:rPr>
                <w:rFonts w:ascii="Arial" w:hAnsi="Arial" w:cs="Arial"/>
                <w:sz w:val="18"/>
                <w:szCs w:val="18"/>
              </w:rPr>
              <w:t xml:space="preserve">40% dla wydatków dotyczących śródlądowych dróg wodnych </w:t>
            </w:r>
            <w:proofErr w:type="spellStart"/>
            <w:r w:rsidRPr="009B0A2F">
              <w:rPr>
                <w:rFonts w:ascii="Arial" w:hAnsi="Arial" w:cs="Arial"/>
                <w:sz w:val="18"/>
                <w:szCs w:val="18"/>
              </w:rPr>
              <w:t>itransportu</w:t>
            </w:r>
            <w:proofErr w:type="spellEnd"/>
            <w:r w:rsidRPr="009B0A2F">
              <w:rPr>
                <w:rFonts w:ascii="Arial" w:hAnsi="Arial" w:cs="Arial"/>
                <w:sz w:val="18"/>
                <w:szCs w:val="18"/>
              </w:rPr>
              <w:t xml:space="preserve"> multimodalnego, jak również infrastruktury gazowej </w:t>
            </w:r>
          </w:p>
          <w:p w:rsidR="00183D01" w:rsidRDefault="00183D01" w:rsidP="00A5681B">
            <w:pPr>
              <w:pStyle w:val="Akapitzlist"/>
              <w:spacing w:after="60" w:line="360" w:lineRule="auto"/>
              <w:ind w:left="4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3D01" w:rsidRPr="004D4DB7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4DB7">
              <w:rPr>
                <w:rFonts w:ascii="Arial" w:hAnsi="Arial" w:cs="Arial"/>
                <w:b/>
                <w:sz w:val="18"/>
                <w:szCs w:val="18"/>
              </w:rPr>
              <w:t>stopy współfinansowania</w:t>
            </w:r>
          </w:p>
          <w:p w:rsidR="00183D01" w:rsidRPr="004D4DB7" w:rsidRDefault="00183D01" w:rsidP="00183D01">
            <w:pPr>
              <w:pStyle w:val="Akapitzlist"/>
              <w:numPr>
                <w:ilvl w:val="0"/>
                <w:numId w:val="13"/>
              </w:numPr>
              <w:spacing w:after="60" w:line="360" w:lineRule="auto"/>
              <w:ind w:left="33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D4DB7">
              <w:rPr>
                <w:rFonts w:ascii="Arial" w:hAnsi="Arial" w:cs="Arial"/>
                <w:sz w:val="18"/>
                <w:szCs w:val="18"/>
              </w:rPr>
              <w:t>sektorze transportu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kwota unijnej pomocy finansowej nie może przekraczać 30% łącznych kosztów kwalifikowalnych. Stopy współfinansowania mogą zostać podwyższone do maksymalnie 50% dla działań związanych z połączeniami transgranicznym dla działań wspierających nowe technologie i innowacje, dla działań wspierających poprawę bezpieczeństwa infrastruktury zgodnie z odpowiednimi przepisami unijnymi oraz dla działań zlokalizowanych w regionach najbardziej oddalonych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kwoty przeniesione z Funduszu Spójności, maksymalnymi stopami współfinansowania są stopy mające zastosowanie do Funduszu Spójności Przedmiotowe stopy współfinansowania mogą zostać podniesione do maksymalnie 85%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przypadku działań dotyczących połączeń transgranicznych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działania dotyczące połączeń transgranicznych, maksymalne stopy współfinansowania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D4DB7">
              <w:rPr>
                <w:rFonts w:ascii="Arial" w:hAnsi="Arial" w:cs="Arial"/>
                <w:sz w:val="18"/>
                <w:szCs w:val="18"/>
              </w:rPr>
              <w:t>ogą być stosowane jedynie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odniesieniu do działań, które wykazują szczególnie wysoki stopień integracji procesów planowania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wdrażania działania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4D4DB7">
              <w:rPr>
                <w:rFonts w:ascii="Arial" w:hAnsi="Arial" w:cs="Arial"/>
                <w:sz w:val="18"/>
                <w:szCs w:val="18"/>
              </w:rPr>
              <w:t>właszcza poprzez ustanowienie jednej spółki projektowej, wspólnej struktury zarządzania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dwustronnych ram prawnych</w:t>
            </w:r>
          </w:p>
          <w:p w:rsidR="00183D01" w:rsidRPr="004D4DB7" w:rsidRDefault="00183D01" w:rsidP="00183D01">
            <w:pPr>
              <w:pStyle w:val="Akapitzlist"/>
              <w:numPr>
                <w:ilvl w:val="0"/>
                <w:numId w:val="13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w sektorze energii</w:t>
            </w:r>
          </w:p>
          <w:p w:rsidR="00183D01" w:rsidRPr="004D4DB7" w:rsidRDefault="00183D01" w:rsidP="00183D01">
            <w:pPr>
              <w:pStyle w:val="Akapitzlist"/>
              <w:numPr>
                <w:ilvl w:val="0"/>
                <w:numId w:val="17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w przypadku robót związanych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celami szczegółowymi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kwota unijnej pomocy finansowej nie może przekraczać 50% łącznych kosztów kwalifikowalnych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7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stopy współfinansowania mogą zostać podniesione do maksymalnie 75% dla działań przyczyniających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się do opracowania projektów będących przedmiotem wspólnego zainteresowania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 xml:space="preserve">zapewniają wysoki poziom regionalnego lub </w:t>
            </w:r>
            <w:proofErr w:type="spellStart"/>
            <w:r w:rsidRPr="004D4DB7">
              <w:rPr>
                <w:rFonts w:ascii="Arial" w:hAnsi="Arial" w:cs="Arial"/>
                <w:sz w:val="18"/>
                <w:szCs w:val="18"/>
              </w:rPr>
              <w:t>ogólnounijnego</w:t>
            </w:r>
            <w:proofErr w:type="spellEnd"/>
            <w:r w:rsidRPr="004D4DB7">
              <w:rPr>
                <w:rFonts w:ascii="Arial" w:hAnsi="Arial" w:cs="Arial"/>
                <w:sz w:val="18"/>
                <w:szCs w:val="18"/>
              </w:rPr>
              <w:t xml:space="preserve"> bezpieczeństwa dostaw, zwiększają poziom solidarności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Unii lub obejmują wysoce innowacyjne rozwiązania.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5"/>
              </w:numPr>
              <w:spacing w:after="60" w:line="360" w:lineRule="auto"/>
              <w:ind w:left="3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770">
              <w:rPr>
                <w:rFonts w:ascii="Arial" w:hAnsi="Arial" w:cs="Arial"/>
                <w:sz w:val="18"/>
                <w:szCs w:val="18"/>
              </w:rPr>
              <w:t>W sektorze technologii cyfrowych</w:t>
            </w:r>
          </w:p>
          <w:p w:rsidR="00183D01" w:rsidRPr="00484770" w:rsidRDefault="00183D01" w:rsidP="00183D01">
            <w:pPr>
              <w:pStyle w:val="Akapitzlist"/>
              <w:numPr>
                <w:ilvl w:val="0"/>
                <w:numId w:val="16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770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0">
              <w:rPr>
                <w:rFonts w:ascii="Arial" w:hAnsi="Arial" w:cs="Arial"/>
                <w:sz w:val="18"/>
                <w:szCs w:val="18"/>
              </w:rPr>
              <w:t>przypadku robót związanych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0">
              <w:rPr>
                <w:rFonts w:ascii="Arial" w:hAnsi="Arial" w:cs="Arial"/>
                <w:sz w:val="18"/>
                <w:szCs w:val="18"/>
              </w:rPr>
              <w:t>celami szczegółowymi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0">
              <w:rPr>
                <w:rFonts w:ascii="Arial" w:hAnsi="Arial" w:cs="Arial"/>
                <w:sz w:val="18"/>
                <w:szCs w:val="18"/>
              </w:rPr>
              <w:t>kwota unijnej pomocy finansowej nie może przekraczać 30% łącznych kosztów kwalifikowalnych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16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770">
              <w:rPr>
                <w:rFonts w:ascii="Arial" w:hAnsi="Arial" w:cs="Arial"/>
                <w:sz w:val="18"/>
                <w:szCs w:val="18"/>
              </w:rPr>
              <w:t xml:space="preserve">Stopy współfinansowania mogą zostać podniesione do50% dla działań, które mają wyraźny wymiar transgraniczny, takich jak zapewnienie nieprzerwanego zasięgu systemów 5G wzdłuż </w:t>
            </w:r>
            <w:r w:rsidRPr="00484770">
              <w:rPr>
                <w:rFonts w:ascii="Arial" w:hAnsi="Arial" w:cs="Arial"/>
                <w:sz w:val="18"/>
                <w:szCs w:val="18"/>
              </w:rPr>
              <w:lastRenderedPageBreak/>
              <w:t>głównych szlaków transportowych lub wdrożenie sieci szkieletowych między państwami członkowskimi oraz między Unią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770">
              <w:rPr>
                <w:rFonts w:ascii="Arial" w:hAnsi="Arial" w:cs="Arial"/>
                <w:sz w:val="18"/>
                <w:szCs w:val="18"/>
              </w:rPr>
              <w:t>państwami tr</w:t>
            </w:r>
            <w:r>
              <w:rPr>
                <w:rFonts w:ascii="Arial" w:hAnsi="Arial" w:cs="Arial"/>
                <w:sz w:val="18"/>
                <w:szCs w:val="18"/>
              </w:rPr>
              <w:t>zecimi</w:t>
            </w:r>
          </w:p>
          <w:p w:rsidR="00183D01" w:rsidRPr="00484770" w:rsidRDefault="00183D01" w:rsidP="00183D01">
            <w:pPr>
              <w:pStyle w:val="Akapitzlist"/>
              <w:numPr>
                <w:ilvl w:val="0"/>
                <w:numId w:val="16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770">
              <w:rPr>
                <w:rFonts w:ascii="Arial" w:hAnsi="Arial" w:cs="Arial"/>
                <w:sz w:val="18"/>
                <w:szCs w:val="18"/>
              </w:rPr>
              <w:t xml:space="preserve"> do wysokości 75% dla działań wdrażających połączenia gigabitowe dla podmiotów stymulujących rozwój społeczno-gospodarczy </w:t>
            </w:r>
          </w:p>
          <w:p w:rsidR="00183D01" w:rsidRPr="00484770" w:rsidRDefault="00183D01" w:rsidP="00183D01">
            <w:pPr>
              <w:pStyle w:val="Akapitzlist"/>
              <w:numPr>
                <w:ilvl w:val="0"/>
                <w:numId w:val="16"/>
              </w:numPr>
              <w:spacing w:after="60" w:line="360" w:lineRule="auto"/>
              <w:ind w:left="193" w:hanging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770">
              <w:rPr>
                <w:rFonts w:ascii="Arial" w:hAnsi="Arial" w:cs="Arial"/>
                <w:sz w:val="18"/>
                <w:szCs w:val="18"/>
              </w:rPr>
              <w:t>Działania w zakresie zapewniania lokalnej łączności bezprzewodowej w społecznościach lokalnych są finansowane poprzez unijną pomoc finansową pokrywającą do 100% kosztów kwalifikowalnych, bez uszczerbku dla zasady współfinansowania</w:t>
            </w:r>
          </w:p>
          <w:p w:rsidR="00183D01" w:rsidRPr="004D4DB7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3D01" w:rsidRPr="001D523A" w:rsidRDefault="00183D01" w:rsidP="00A5681B">
            <w:p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</w:t>
            </w:r>
          </w:p>
        </w:tc>
      </w:tr>
      <w:tr w:rsidR="00183D01" w:rsidRPr="001D523A" w:rsidTr="00A5681B">
        <w:trPr>
          <w:trHeight w:val="168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Zasięg terytorialny </w:t>
            </w:r>
          </w:p>
        </w:tc>
        <w:tc>
          <w:tcPr>
            <w:tcW w:w="80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46414F" w:rsidRDefault="00183D01" w:rsidP="00183D01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Kraje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członkowskie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 UE</w:t>
            </w:r>
          </w:p>
          <w:p w:rsidR="00183D01" w:rsidRDefault="00183D01" w:rsidP="00183D0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Pr="0046414F">
              <w:rPr>
                <w:rFonts w:ascii="Arial" w:hAnsi="Arial" w:cs="Arial"/>
                <w:sz w:val="18"/>
                <w:szCs w:val="18"/>
              </w:rPr>
              <w:t xml:space="preserve"> Europejskiego Stowarzyszenia Wolnego Handlu (EFTA), którzy są członkami Europejskiego Obszaru Gospodarczego (EOG)</w:t>
            </w:r>
          </w:p>
          <w:p w:rsidR="00183D01" w:rsidRPr="0046414F" w:rsidRDefault="00183D01" w:rsidP="00183D0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>Kraje</w:t>
            </w:r>
            <w:proofErr w:type="spellEnd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>kandydujące</w:t>
            </w:r>
            <w:proofErr w:type="spellEnd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>potencjalnie</w:t>
            </w:r>
            <w:proofErr w:type="spellEnd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>kandydujące</w:t>
            </w:r>
            <w:proofErr w:type="spellEnd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>przystępujące</w:t>
            </w:r>
            <w:proofErr w:type="spellEnd"/>
            <w:r w:rsidRPr="0046414F">
              <w:rPr>
                <w:rFonts w:ascii="Arial" w:hAnsi="Arial" w:cs="Arial"/>
                <w:sz w:val="18"/>
                <w:szCs w:val="18"/>
                <w:lang w:val="de-DE"/>
              </w:rPr>
              <w:t xml:space="preserve"> do UE</w:t>
            </w:r>
          </w:p>
          <w:p w:rsidR="00183D01" w:rsidRPr="0046414F" w:rsidRDefault="00183D01" w:rsidP="00183D01">
            <w:pPr>
              <w:numPr>
                <w:ilvl w:val="0"/>
                <w:numId w:val="7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46414F">
              <w:rPr>
                <w:rFonts w:ascii="Arial" w:hAnsi="Arial" w:cs="Arial"/>
                <w:sz w:val="18"/>
                <w:szCs w:val="18"/>
              </w:rPr>
              <w:t>państw</w:t>
            </w:r>
            <w:r>
              <w:rPr>
                <w:rFonts w:ascii="Arial" w:hAnsi="Arial" w:cs="Arial"/>
                <w:sz w:val="18"/>
                <w:szCs w:val="18"/>
              </w:rPr>
              <w:t xml:space="preserve">a objęte </w:t>
            </w:r>
            <w:r w:rsidRPr="0046414F">
              <w:rPr>
                <w:rFonts w:ascii="Arial" w:hAnsi="Arial" w:cs="Arial"/>
                <w:sz w:val="18"/>
                <w:szCs w:val="18"/>
              </w:rPr>
              <w:t xml:space="preserve">europejską polityką sąsiedztwa </w:t>
            </w:r>
          </w:p>
          <w:p w:rsidR="00183D01" w:rsidRPr="004D4DB7" w:rsidRDefault="00183D01" w:rsidP="00183D01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18"/>
                <w:szCs w:val="18"/>
              </w:rPr>
            </w:pPr>
            <w:r w:rsidRPr="0046414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nne</w:t>
            </w:r>
            <w:r w:rsidRPr="0046414F">
              <w:rPr>
                <w:rFonts w:ascii="Arial" w:hAnsi="Arial" w:cs="Arial"/>
                <w:sz w:val="18"/>
                <w:szCs w:val="18"/>
              </w:rPr>
              <w:t xml:space="preserve"> państw</w:t>
            </w:r>
            <w:r>
              <w:rPr>
                <w:rFonts w:ascii="Arial" w:hAnsi="Arial" w:cs="Arial"/>
                <w:sz w:val="18"/>
                <w:szCs w:val="18"/>
              </w:rPr>
              <w:t>a trzecie</w:t>
            </w:r>
            <w:r w:rsidRPr="0046414F">
              <w:rPr>
                <w:rFonts w:ascii="Arial" w:hAnsi="Arial" w:cs="Arial"/>
                <w:sz w:val="18"/>
                <w:szCs w:val="18"/>
              </w:rPr>
              <w:t>, 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14F">
              <w:rPr>
                <w:rFonts w:ascii="Arial" w:hAnsi="Arial" w:cs="Arial"/>
                <w:sz w:val="18"/>
                <w:szCs w:val="18"/>
              </w:rPr>
              <w:t>warunkami określonymi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14F">
              <w:rPr>
                <w:rFonts w:ascii="Arial" w:hAnsi="Arial" w:cs="Arial"/>
                <w:sz w:val="18"/>
                <w:szCs w:val="18"/>
              </w:rPr>
              <w:t>umowie szczegółowej regulującej udział państwa trzeciego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14F">
              <w:rPr>
                <w:rFonts w:ascii="Arial" w:hAnsi="Arial" w:cs="Arial"/>
                <w:sz w:val="18"/>
                <w:szCs w:val="18"/>
              </w:rPr>
              <w:t>dowolnym unijnym programie</w:t>
            </w:r>
          </w:p>
          <w:p w:rsidR="00183D01" w:rsidRPr="004D4DB7" w:rsidRDefault="00183D01" w:rsidP="00A5681B">
            <w:pPr>
              <w:pStyle w:val="Akapitzlist"/>
              <w:spacing w:line="360" w:lineRule="auto"/>
              <w:rPr>
                <w:sz w:val="18"/>
                <w:szCs w:val="18"/>
              </w:rPr>
            </w:pPr>
          </w:p>
          <w:p w:rsidR="00183D01" w:rsidRPr="004D4DB7" w:rsidRDefault="00183D01" w:rsidP="00A5681B">
            <w:pPr>
              <w:spacing w:line="360" w:lineRule="auto"/>
              <w:ind w:left="51"/>
              <w:jc w:val="both"/>
              <w:rPr>
                <w:sz w:val="18"/>
                <w:szCs w:val="18"/>
              </w:rPr>
            </w:pPr>
            <w:r w:rsidRPr="004D4DB7">
              <w:rPr>
                <w:rFonts w:ascii="Arial" w:hAnsi="Arial" w:cs="Arial"/>
                <w:sz w:val="18"/>
                <w:szCs w:val="18"/>
              </w:rPr>
              <w:t>kwalifikowalne mogą być jedynie wydatki poniesione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państwach członkowskich,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wyjątkiem projektów będących przedmiotem wspólnego zainteresowania lub projektów transgranicznych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dziedzinie energii odnawialnej dotyczących terytorium jednego lub większej liczby państw trzecich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DB7">
              <w:rPr>
                <w:rFonts w:ascii="Arial" w:hAnsi="Arial" w:cs="Arial"/>
                <w:sz w:val="18"/>
                <w:szCs w:val="18"/>
              </w:rPr>
              <w:t>bądź wód międzynarodowych, jeżeli działanie jest niezbędne do realizacji celów danego projektu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Potencjalni wnioskodawcy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0B77C3" w:rsidRDefault="00183D01" w:rsidP="00183D01">
            <w:pPr>
              <w:pStyle w:val="Akapitzlist"/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>Sektor transportowy</w:t>
            </w:r>
          </w:p>
          <w:p w:rsidR="00183D01" w:rsidRPr="00A839CF" w:rsidRDefault="00183D01" w:rsidP="00183D01">
            <w:pPr>
              <w:numPr>
                <w:ilvl w:val="0"/>
                <w:numId w:val="4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>Sektor energetyczny</w:t>
            </w:r>
          </w:p>
          <w:p w:rsidR="00183D01" w:rsidRPr="001D523A" w:rsidRDefault="00183D01" w:rsidP="00183D01">
            <w:pPr>
              <w:numPr>
                <w:ilvl w:val="0"/>
                <w:numId w:val="4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sektor</w:t>
            </w:r>
            <w:r w:rsidRPr="007E06EE">
              <w:rPr>
                <w:rFonts w:ascii="Arial" w:hAnsi="Arial" w:cs="Arial"/>
                <w:sz w:val="18"/>
                <w:szCs w:val="18"/>
              </w:rPr>
              <w:t xml:space="preserve"> technologii cyfrowych</w:t>
            </w:r>
          </w:p>
        </w:tc>
      </w:tr>
      <w:tr w:rsidR="00183D01" w:rsidRPr="001D523A" w:rsidDel="00327D56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83D01" w:rsidRPr="001D523A" w:rsidDel="00327D56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Minimalne wymogi dla projektu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D01" w:rsidRPr="00484770" w:rsidDel="00327D56" w:rsidRDefault="00183D01" w:rsidP="00A56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mogą być wykorzystywane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połączeniu ze środkami finansowymi pochodzącymi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Europejskiego Banku Inwestycyjnego lub krajowych banków prorozwojowych lub innych instytucji finansowania rozwoju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publicznych instytucji finansowych, 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także od instytucji finansowych sektora prywatnego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nwestorów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sektora prywatnego,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4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tym poprzez partnerstwa publiczno-prywatne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Główne kategorie wydatków kwalifikowalnych (ew. wyłączenia)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183D0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Del="00D22E9D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 xml:space="preserve">Zastosowanie pomocy publicznej 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523A">
              <w:rPr>
                <w:rFonts w:ascii="Arial" w:hAnsi="Arial" w:cs="Arial"/>
                <w:sz w:val="18"/>
                <w:szCs w:val="18"/>
              </w:rPr>
              <w:t xml:space="preserve">TAK / </w:t>
            </w:r>
            <w:r w:rsidRPr="001D523A">
              <w:rPr>
                <w:rFonts w:ascii="Arial" w:hAnsi="Arial" w:cs="Arial"/>
                <w:sz w:val="18"/>
                <w:szCs w:val="18"/>
                <w:u w:val="single"/>
              </w:rPr>
              <w:t xml:space="preserve">NIE 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Niekonwencjonalne sposoby rozliczania kosztów / współfinansowania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01" w:rsidRPr="007C5A33" w:rsidRDefault="00183D01" w:rsidP="00183D01">
            <w:pPr>
              <w:pStyle w:val="Akapitzlist"/>
              <w:numPr>
                <w:ilvl w:val="0"/>
                <w:numId w:val="8"/>
              </w:num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A33">
              <w:rPr>
                <w:rFonts w:ascii="Arial" w:hAnsi="Arial" w:cs="Arial"/>
                <w:sz w:val="18"/>
                <w:szCs w:val="18"/>
              </w:rPr>
              <w:t>kwota dotacji może zostać obniżona z następujących powodów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83D01" w:rsidRPr="007C5A33" w:rsidRDefault="00183D01" w:rsidP="00183D01">
            <w:pPr>
              <w:numPr>
                <w:ilvl w:val="0"/>
                <w:numId w:val="9"/>
              </w:num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A33">
              <w:rPr>
                <w:rFonts w:ascii="Arial" w:hAnsi="Arial" w:cs="Arial"/>
                <w:sz w:val="18"/>
                <w:szCs w:val="18"/>
              </w:rPr>
              <w:t>działanie nie rozpoczęło się w terminie jednego roku od daty początkowej wskazanej w umowie o ud</w:t>
            </w:r>
            <w:r>
              <w:rPr>
                <w:rFonts w:ascii="Arial" w:hAnsi="Arial" w:cs="Arial"/>
                <w:sz w:val="18"/>
                <w:szCs w:val="18"/>
              </w:rPr>
              <w:t>zielenie dotacji</w:t>
            </w:r>
          </w:p>
          <w:p w:rsidR="00183D01" w:rsidRDefault="00183D01" w:rsidP="00183D01">
            <w:pPr>
              <w:numPr>
                <w:ilvl w:val="0"/>
                <w:numId w:val="9"/>
              </w:num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5A33">
              <w:rPr>
                <w:rFonts w:ascii="Arial" w:hAnsi="Arial" w:cs="Arial"/>
                <w:sz w:val="18"/>
                <w:szCs w:val="18"/>
              </w:rPr>
              <w:t>w następstwie przeglądu postępów w realizacji działania stwierdzono, że realizacja działania jest opóźniona w takim stopniu, że cele działania prawdopodobnie nie zostaną osiągnięte.</w:t>
            </w:r>
          </w:p>
          <w:p w:rsidR="00183D01" w:rsidRPr="00670C22" w:rsidRDefault="00183D01" w:rsidP="00183D01">
            <w:pPr>
              <w:pStyle w:val="Akapitzlist"/>
              <w:numPr>
                <w:ilvl w:val="0"/>
                <w:numId w:val="10"/>
              </w:num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C22">
              <w:rPr>
                <w:rFonts w:ascii="Arial" w:hAnsi="Arial" w:cs="Arial"/>
                <w:sz w:val="18"/>
                <w:szCs w:val="18"/>
              </w:rPr>
              <w:t>Działanie, które otrzymało wkład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ramach programu, może również otrzymać wkład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dowolnego programu unijnego,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tym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funduszy objętych zarządzaniem dzielonym, pod warunkiem że wkład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 xml:space="preserve">obu programów nie pokrywa tych samych kosztów. Zasady </w:t>
            </w:r>
            <w:r w:rsidRPr="00670C22">
              <w:rPr>
                <w:rFonts w:ascii="Arial" w:hAnsi="Arial" w:cs="Arial"/>
                <w:sz w:val="18"/>
                <w:szCs w:val="18"/>
              </w:rPr>
              <w:lastRenderedPageBreak/>
              <w:t>poszczególnych unijnych programów zapewniających wkład mają zastosowanie do ich odpowiednich wkładów na rzecz działania. Finansowanie skumulowane nie może przekraczać łącznych kosztów kwalifikowalnych działania,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wsparcie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różnych programów unijnych można obliczyć proporcjonalnie, 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C22">
              <w:rPr>
                <w:rFonts w:ascii="Arial" w:hAnsi="Arial" w:cs="Arial"/>
                <w:sz w:val="18"/>
                <w:szCs w:val="18"/>
              </w:rPr>
              <w:t>dokumentami określającymi warunki wsparcia.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lastRenderedPageBreak/>
              <w:t>Instytucja zarządzająca</w:t>
            </w:r>
          </w:p>
        </w:tc>
        <w:tc>
          <w:tcPr>
            <w:tcW w:w="80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523A">
              <w:rPr>
                <w:rFonts w:ascii="Arial" w:hAnsi="Arial" w:cs="Arial"/>
                <w:sz w:val="18"/>
                <w:szCs w:val="18"/>
              </w:rPr>
              <w:t>Komisja Europejska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Agencja Wykonawcza (podmiot wdrażający)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>Agencja Wykonawcza ds. Innowacji i Sieci</w:t>
            </w:r>
            <w:r>
              <w:rPr>
                <w:rFonts w:ascii="Arial" w:hAnsi="Arial" w:cs="Arial"/>
                <w:sz w:val="18"/>
                <w:szCs w:val="18"/>
              </w:rPr>
              <w:t xml:space="preserve"> (INEA)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Rola państw członkowskich, regionów w systemie zarządzania w kraju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01" w:rsidRPr="001D523A" w:rsidRDefault="00183D01" w:rsidP="00183D01">
            <w:pPr>
              <w:numPr>
                <w:ilvl w:val="0"/>
                <w:numId w:val="2"/>
              </w:num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83D01" w:rsidRPr="001D523A" w:rsidTr="00A5681B">
        <w:trPr>
          <w:trHeight w:val="465"/>
        </w:trPr>
        <w:tc>
          <w:tcPr>
            <w:tcW w:w="2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Krajowe i regionalne Punkty Kontaktowe</w:t>
            </w:r>
          </w:p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Krajowe Punkty Kontaktowe: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Regionalne Punkty Kontaktowe (jeśli takie są):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Indywidulane osoby kontaktowe:</w:t>
            </w:r>
          </w:p>
        </w:tc>
      </w:tr>
      <w:tr w:rsidR="00183D01" w:rsidRPr="001D523A" w:rsidTr="00A5681B">
        <w:trPr>
          <w:trHeight w:val="465"/>
        </w:trPr>
        <w:tc>
          <w:tcPr>
            <w:tcW w:w="20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83D01" w:rsidRPr="000B77C3" w:rsidRDefault="00183D01" w:rsidP="00A5681B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77C3">
              <w:rPr>
                <w:rFonts w:ascii="Arial" w:hAnsi="Arial" w:cs="Arial"/>
                <w:b/>
                <w:sz w:val="18"/>
                <w:szCs w:val="18"/>
              </w:rPr>
              <w:t>Punkt Kontaktowy CEF Ministerstwo Cyfryzacji</w:t>
            </w:r>
          </w:p>
          <w:p w:rsidR="00183D01" w:rsidRPr="000B77C3" w:rsidRDefault="00183D01" w:rsidP="00A568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0B77C3">
                <w:rPr>
                  <w:rStyle w:val="Hipercze"/>
                  <w:rFonts w:ascii="Arial" w:hAnsi="Arial" w:cs="Arial"/>
                  <w:sz w:val="18"/>
                  <w:szCs w:val="18"/>
                </w:rPr>
                <w:t>http://CEF@mc.gov.pl/</w:t>
              </w:r>
            </w:hyperlink>
            <w:r w:rsidRPr="000B77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3D01" w:rsidRPr="000B77C3" w:rsidRDefault="00183D01" w:rsidP="00A568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77C3"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  <w:p w:rsidR="00183D01" w:rsidRPr="000B77C3" w:rsidRDefault="00183D01" w:rsidP="00A5681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" w:history="1">
              <w:r w:rsidRPr="000B77C3">
                <w:rPr>
                  <w:rStyle w:val="Hipercze"/>
                  <w:rFonts w:ascii="Arial" w:hAnsi="Arial" w:cs="Arial"/>
                  <w:sz w:val="18"/>
                  <w:szCs w:val="18"/>
                </w:rPr>
                <w:t>cef@mr.gov.pl</w:t>
              </w:r>
            </w:hyperlink>
            <w:r w:rsidRPr="000B77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3D01" w:rsidRPr="000B77C3" w:rsidRDefault="00183D01" w:rsidP="00183D01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0"/>
              <w:rPr>
                <w:rFonts w:ascii="Ubuntu Light" w:hAnsi="Ubuntu Light"/>
                <w:color w:val="000000"/>
                <w:sz w:val="18"/>
                <w:szCs w:val="18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 xml:space="preserve">Tel.: </w:t>
            </w:r>
            <w:r w:rsidRPr="000B77C3">
              <w:rPr>
                <w:rFonts w:ascii="Arial" w:hAnsi="Arial" w:cs="Arial"/>
                <w:color w:val="000000"/>
                <w:sz w:val="18"/>
                <w:szCs w:val="18"/>
              </w:rPr>
              <w:t>22 273 77 37</w:t>
            </w:r>
          </w:p>
          <w:p w:rsidR="00183D01" w:rsidRPr="000B77C3" w:rsidRDefault="00183D01" w:rsidP="00183D01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0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  <w:r w:rsidRPr="000B77C3">
              <w:rPr>
                <w:rFonts w:ascii="Arial" w:hAnsi="Arial" w:cs="Arial"/>
                <w:b/>
                <w:sz w:val="18"/>
                <w:szCs w:val="18"/>
              </w:rPr>
              <w:t>TELEKOMUNIKACJA</w:t>
            </w:r>
          </w:p>
          <w:p w:rsidR="00183D01" w:rsidRPr="000B77C3" w:rsidRDefault="00183D01" w:rsidP="00A5681B">
            <w:pPr>
              <w:shd w:val="clear" w:color="auto" w:fill="FFFFFF"/>
              <w:spacing w:after="0" w:line="276" w:lineRule="auto"/>
              <w:rPr>
                <w:rFonts w:ascii="Ubuntu Light" w:hAnsi="Ubuntu Light"/>
                <w:b/>
                <w:color w:val="000000"/>
                <w:sz w:val="18"/>
                <w:szCs w:val="18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 w:rsidRPr="000B77C3">
                <w:rPr>
                  <w:rStyle w:val="Hipercze"/>
                  <w:rFonts w:ascii="Arial" w:hAnsi="Arial" w:cs="Arial"/>
                  <w:sz w:val="18"/>
                  <w:szCs w:val="18"/>
                </w:rPr>
                <w:t>http://CEF@mc.gov.pl/</w:t>
              </w:r>
            </w:hyperlink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3D01" w:rsidRPr="001D523A" w:rsidRDefault="00183D01" w:rsidP="00A5681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D01" w:rsidRPr="001D523A" w:rsidRDefault="00183D01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3D01" w:rsidRPr="001D523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D523A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183D01" w:rsidRPr="001D523A" w:rsidTr="00A5681B">
        <w:trPr>
          <w:trHeight w:val="272"/>
        </w:trPr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Strona internetowa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3D01" w:rsidRPr="00E451F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6114">
              <w:rPr>
                <w:rFonts w:ascii="Arial" w:hAnsi="Arial" w:cs="Arial"/>
                <w:sz w:val="18"/>
                <w:szCs w:val="18"/>
              </w:rPr>
              <w:t>Brak s</w:t>
            </w:r>
            <w:r>
              <w:rPr>
                <w:rFonts w:ascii="Arial" w:hAnsi="Arial" w:cs="Arial"/>
                <w:sz w:val="18"/>
                <w:szCs w:val="18"/>
              </w:rPr>
              <w:t>trony dla nowego programu.</w:t>
            </w:r>
          </w:p>
        </w:tc>
      </w:tr>
      <w:tr w:rsidR="00183D01" w:rsidRPr="001D523A" w:rsidTr="00A5681B">
        <w:trPr>
          <w:trHeight w:val="236"/>
        </w:trPr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83D01" w:rsidRPr="001D523A" w:rsidRDefault="00183D01" w:rsidP="00A568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Nabory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3D01" w:rsidRPr="00E451F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7C3">
              <w:rPr>
                <w:rFonts w:ascii="Arial" w:hAnsi="Arial" w:cs="Arial"/>
                <w:sz w:val="18"/>
                <w:szCs w:val="18"/>
              </w:rPr>
              <w:t>Brak ogłoszonych naborów – progr</w:t>
            </w:r>
            <w:r>
              <w:rPr>
                <w:rFonts w:ascii="Arial" w:hAnsi="Arial" w:cs="Arial"/>
                <w:sz w:val="18"/>
                <w:szCs w:val="18"/>
              </w:rPr>
              <w:t>am ruszy w 2021</w:t>
            </w:r>
            <w:r w:rsidRPr="000B77C3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3D01" w:rsidRPr="001D523A" w:rsidTr="00A5681B">
        <w:tc>
          <w:tcPr>
            <w:tcW w:w="20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3D01" w:rsidRPr="001D523A" w:rsidRDefault="00183D01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523A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80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3D01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1D523A">
              <w:rPr>
                <w:rFonts w:ascii="Arial" w:hAnsi="Arial" w:cs="Arial"/>
                <w:sz w:val="18"/>
                <w:szCs w:val="18"/>
              </w:rPr>
              <w:t>Rozporządzenie Parlamentu Europejskiego i Rady ustanawiające instrument „Łącząc Europę” oraz uchylające rozporządzenia (UE) nr1316/2013 i (UE) nr283/2014</w:t>
            </w:r>
          </w:p>
          <w:p w:rsidR="00183D01" w:rsidRPr="001D523A" w:rsidRDefault="00183D0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23A"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  <w:t>https://eur-lex.europa.eu/resource.html?uri=cellar:da5da09e-6a5a-11e8-9483-01aa75ed71a1.0011.02/DOC_1&amp;format=PDF</w:t>
            </w:r>
          </w:p>
        </w:tc>
      </w:tr>
    </w:tbl>
    <w:p w:rsidR="003336E8" w:rsidRDefault="003336E8"/>
    <w:sectPr w:rsidR="003336E8" w:rsidSect="00183D0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EF0"/>
    <w:multiLevelType w:val="hybridMultilevel"/>
    <w:tmpl w:val="807450BC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0B1"/>
    <w:multiLevelType w:val="hybridMultilevel"/>
    <w:tmpl w:val="DFA8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529"/>
    <w:multiLevelType w:val="hybridMultilevel"/>
    <w:tmpl w:val="C0FE4BD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361"/>
    <w:multiLevelType w:val="hybridMultilevel"/>
    <w:tmpl w:val="EBF0D75C"/>
    <w:lvl w:ilvl="0" w:tplc="43769A14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 w15:restartNumberingAfterBreak="0">
    <w:nsid w:val="20AA48A1"/>
    <w:multiLevelType w:val="hybridMultilevel"/>
    <w:tmpl w:val="7F3EFD52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483B"/>
    <w:multiLevelType w:val="multilevel"/>
    <w:tmpl w:val="74A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37183"/>
    <w:multiLevelType w:val="hybridMultilevel"/>
    <w:tmpl w:val="13341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21F6"/>
    <w:multiLevelType w:val="hybridMultilevel"/>
    <w:tmpl w:val="F7DC455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E81"/>
    <w:multiLevelType w:val="hybridMultilevel"/>
    <w:tmpl w:val="ED8231CC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0C7"/>
    <w:multiLevelType w:val="hybridMultilevel"/>
    <w:tmpl w:val="5240FA2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51C3"/>
    <w:multiLevelType w:val="hybridMultilevel"/>
    <w:tmpl w:val="CC7097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E0D51"/>
    <w:multiLevelType w:val="hybridMultilevel"/>
    <w:tmpl w:val="4106F7B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91AF2"/>
    <w:multiLevelType w:val="hybridMultilevel"/>
    <w:tmpl w:val="D282422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435E8"/>
    <w:multiLevelType w:val="hybridMultilevel"/>
    <w:tmpl w:val="7366B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2CC4"/>
    <w:multiLevelType w:val="hybridMultilevel"/>
    <w:tmpl w:val="18A26102"/>
    <w:lvl w:ilvl="0" w:tplc="04150017">
      <w:start w:val="1"/>
      <w:numFmt w:val="lowerLetter"/>
      <w:lvlText w:val="%1)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5" w15:restartNumberingAfterBreak="0">
    <w:nsid w:val="69D13BB4"/>
    <w:multiLevelType w:val="hybridMultilevel"/>
    <w:tmpl w:val="F046613A"/>
    <w:lvl w:ilvl="0" w:tplc="43769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8554E1"/>
    <w:multiLevelType w:val="hybridMultilevel"/>
    <w:tmpl w:val="05C833D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7" w15:restartNumberingAfterBreak="0">
    <w:nsid w:val="7DF90885"/>
    <w:multiLevelType w:val="hybridMultilevel"/>
    <w:tmpl w:val="216EE4CA"/>
    <w:lvl w:ilvl="0" w:tplc="43769A14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1"/>
    <w:rsid w:val="00183D01"/>
    <w:rsid w:val="003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BD55-B07B-4425-9FD2-FB4572B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F@mc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f@mr.gov.pl" TargetMode="External"/><Relationship Id="rId5" Type="http://schemas.openxmlformats.org/officeDocument/2006/relationships/hyperlink" Target="http://CEF@mc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7637</Characters>
  <Application>Microsoft Office Word</Application>
  <DocSecurity>0</DocSecurity>
  <Lines>63</Lines>
  <Paragraphs>17</Paragraphs>
  <ScaleCrop>false</ScaleCrop>
  <Company>UMWP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DRRP - Kwiatkowska Ewelina</dc:creator>
  <cp:keywords/>
  <dc:description/>
  <cp:lastModifiedBy>DRRP - Kwiatkowska Ewelina</cp:lastModifiedBy>
  <cp:revision>1</cp:revision>
  <dcterms:created xsi:type="dcterms:W3CDTF">2020-07-21T10:17:00Z</dcterms:created>
  <dcterms:modified xsi:type="dcterms:W3CDTF">2020-07-21T10:18:00Z</dcterms:modified>
</cp:coreProperties>
</file>